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ink/ink1.xml" ContentType="application/inkml+xml"/>
  <Override PartName="/word/ink/ink2.xml" ContentType="application/inkml+xml"/>
  <Override PartName="/word/ink/ink3.xml" ContentType="application/inkml+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1DDB9F">
      <w:pPr>
        <w:pStyle w:val="14"/>
        <w:tabs>
          <w:tab w:val="left" w:pos="2625"/>
        </w:tabs>
        <w:rPr>
          <w:rFonts w:ascii="Times New Roman"/>
          <w:sz w:val="28"/>
          <w:szCs w:val="28"/>
        </w:rPr>
      </w:pPr>
    </w:p>
    <w:p w14:paraId="03979FFF">
      <w:pPr>
        <w:pStyle w:val="14"/>
        <w:tabs>
          <w:tab w:val="left" w:pos="2625"/>
        </w:tabs>
        <w:rPr>
          <w:rFonts w:ascii="Times New Roman"/>
          <w:sz w:val="28"/>
          <w:szCs w:val="28"/>
        </w:rPr>
      </w:pPr>
    </w:p>
    <w:p w14:paraId="3EE6DDCD">
      <w:pPr>
        <w:pStyle w:val="14"/>
        <w:rPr>
          <w:rFonts w:ascii="Times New Roman"/>
          <w:sz w:val="28"/>
          <w:szCs w:val="28"/>
        </w:rPr>
      </w:pPr>
    </w:p>
    <w:p w14:paraId="7F395FB4">
      <w:pPr>
        <w:pStyle w:val="14"/>
        <w:rPr>
          <w:rFonts w:ascii="Times New Roman" w:eastAsia="黑体"/>
          <w:kern w:val="2"/>
          <w:sz w:val="44"/>
          <w:szCs w:val="44"/>
        </w:rPr>
      </w:pPr>
      <w:r>
        <w:rPr>
          <w:rFonts w:hint="eastAsia" w:ascii="Times New Roman" w:eastAsia="黑体"/>
          <w:kern w:val="2"/>
          <w:sz w:val="44"/>
          <w:szCs w:val="44"/>
        </w:rPr>
        <w:t>《微量法残炭测定仪校准规范</w:t>
      </w:r>
      <w:r>
        <w:rPr>
          <w:rFonts w:ascii="Times New Roman" w:eastAsia="黑体"/>
          <w:kern w:val="2"/>
          <w:sz w:val="44"/>
          <w:szCs w:val="44"/>
        </w:rPr>
        <w:t>》</w:t>
      </w:r>
    </w:p>
    <w:p w14:paraId="59BA3F68">
      <w:pPr>
        <w:pStyle w:val="14"/>
        <w:rPr>
          <w:rFonts w:ascii="Times New Roman" w:eastAsia="黑体"/>
          <w:kern w:val="2"/>
          <w:sz w:val="44"/>
          <w:szCs w:val="44"/>
        </w:rPr>
      </w:pPr>
      <w:r>
        <w:rPr>
          <w:rFonts w:hint="eastAsia" w:ascii="Times New Roman" w:eastAsia="黑体"/>
          <w:kern w:val="2"/>
          <w:sz w:val="44"/>
          <w:szCs w:val="44"/>
          <w:lang w:eastAsia="zh-CN"/>
        </w:rPr>
        <w:t>国家计量技术规范编写</w:t>
      </w:r>
      <w:r>
        <w:rPr>
          <w:rFonts w:ascii="Times New Roman" w:eastAsia="黑体"/>
          <w:kern w:val="2"/>
          <w:sz w:val="44"/>
          <w:szCs w:val="44"/>
        </w:rPr>
        <w:t>说明</w:t>
      </w:r>
    </w:p>
    <w:p w14:paraId="1E64A7B8">
      <w:pPr>
        <w:pStyle w:val="14"/>
        <w:rPr>
          <w:rFonts w:ascii="Times New Roman"/>
          <w:sz w:val="28"/>
          <w:szCs w:val="28"/>
        </w:rPr>
      </w:pPr>
      <w:r>
        <w:rPr>
          <w:rFonts w:ascii="Times New Roman" w:eastAsia="黑体"/>
          <w:color w:val="000000"/>
          <w:sz w:val="28"/>
          <w:szCs w:val="28"/>
        </w:rPr>
        <w:t xml:space="preserve">  （</w:t>
      </w:r>
      <w:r>
        <w:rPr>
          <w:rFonts w:hint="eastAsia" w:ascii="Times New Roman" w:eastAsia="黑体"/>
          <w:color w:val="000000"/>
          <w:sz w:val="28"/>
          <w:szCs w:val="28"/>
          <w:lang w:eastAsia="zh-CN"/>
        </w:rPr>
        <w:t>征求意见</w:t>
      </w:r>
      <w:r>
        <w:rPr>
          <w:rFonts w:ascii="Times New Roman" w:eastAsia="黑体"/>
          <w:color w:val="000000"/>
          <w:sz w:val="28"/>
          <w:szCs w:val="28"/>
        </w:rPr>
        <w:t>稿）</w:t>
      </w:r>
    </w:p>
    <w:p w14:paraId="3DD7542E">
      <w:pPr>
        <w:pStyle w:val="14"/>
        <w:rPr>
          <w:rFonts w:ascii="Times New Roman" w:eastAsia="黑体"/>
          <w:sz w:val="32"/>
          <w:szCs w:val="32"/>
        </w:rPr>
      </w:pPr>
    </w:p>
    <w:p w14:paraId="32B2646C">
      <w:pPr>
        <w:pStyle w:val="14"/>
        <w:rPr>
          <w:rFonts w:ascii="Times New Roman" w:eastAsia="黑体"/>
          <w:sz w:val="32"/>
          <w:szCs w:val="32"/>
        </w:rPr>
      </w:pPr>
    </w:p>
    <w:p w14:paraId="765112C4">
      <w:pPr>
        <w:pStyle w:val="14"/>
        <w:rPr>
          <w:rFonts w:ascii="Times New Roman" w:eastAsia="黑体"/>
          <w:sz w:val="32"/>
          <w:szCs w:val="32"/>
        </w:rPr>
      </w:pPr>
    </w:p>
    <w:p w14:paraId="5E6A1ED2">
      <w:pPr>
        <w:pStyle w:val="14"/>
        <w:spacing w:before="0" w:line="360" w:lineRule="auto"/>
        <w:ind w:firstLine="640"/>
        <w:rPr>
          <w:rFonts w:ascii="Times New Roman" w:eastAsia="黑体"/>
          <w:sz w:val="32"/>
          <w:szCs w:val="32"/>
        </w:rPr>
      </w:pPr>
    </w:p>
    <w:p w14:paraId="794B5202">
      <w:pPr>
        <w:pStyle w:val="14"/>
        <w:spacing w:before="0" w:line="360" w:lineRule="auto"/>
        <w:ind w:firstLine="640"/>
        <w:rPr>
          <w:rFonts w:ascii="Times New Roman" w:eastAsia="黑体"/>
          <w:sz w:val="32"/>
          <w:szCs w:val="32"/>
        </w:rPr>
      </w:pPr>
    </w:p>
    <w:p w14:paraId="36C11A20">
      <w:pPr>
        <w:pStyle w:val="14"/>
        <w:spacing w:before="0" w:line="360" w:lineRule="auto"/>
        <w:ind w:firstLine="640"/>
        <w:rPr>
          <w:rFonts w:ascii="Times New Roman" w:eastAsia="黑体"/>
          <w:sz w:val="32"/>
          <w:szCs w:val="32"/>
        </w:rPr>
      </w:pPr>
    </w:p>
    <w:p w14:paraId="0AB319B2">
      <w:pPr>
        <w:pStyle w:val="14"/>
        <w:spacing w:before="0" w:line="360" w:lineRule="auto"/>
        <w:ind w:firstLine="640"/>
        <w:rPr>
          <w:rFonts w:ascii="Times New Roman" w:eastAsia="黑体"/>
          <w:sz w:val="32"/>
          <w:szCs w:val="32"/>
        </w:rPr>
      </w:pPr>
    </w:p>
    <w:p w14:paraId="76F98882">
      <w:pPr>
        <w:pStyle w:val="14"/>
        <w:spacing w:before="0" w:line="360" w:lineRule="auto"/>
        <w:ind w:firstLine="640"/>
        <w:rPr>
          <w:rFonts w:ascii="Times New Roman" w:eastAsia="黑体"/>
          <w:sz w:val="32"/>
          <w:szCs w:val="32"/>
        </w:rPr>
      </w:pPr>
    </w:p>
    <w:p w14:paraId="4D8EB78A">
      <w:pPr>
        <w:pStyle w:val="14"/>
        <w:spacing w:before="0" w:line="360" w:lineRule="auto"/>
        <w:ind w:firstLine="640"/>
        <w:rPr>
          <w:rFonts w:ascii="Times New Roman" w:eastAsia="黑体"/>
          <w:sz w:val="32"/>
          <w:szCs w:val="32"/>
        </w:rPr>
      </w:pPr>
    </w:p>
    <w:p w14:paraId="0EB6F231">
      <w:pPr>
        <w:pStyle w:val="14"/>
        <w:spacing w:line="360" w:lineRule="auto"/>
        <w:ind w:firstLine="640"/>
        <w:jc w:val="center"/>
        <w:rPr>
          <w:rFonts w:hint="eastAsia" w:ascii="Times New Roman" w:eastAsia="黑体"/>
          <w:sz w:val="28"/>
          <w:szCs w:val="28"/>
          <w:lang w:eastAsia="zh-CN"/>
        </w:rPr>
      </w:pPr>
      <w:r>
        <w:rPr>
          <w:rFonts w:hint="eastAsia" w:ascii="Times New Roman" w:eastAsia="黑体"/>
          <w:bCs/>
          <w:sz w:val="28"/>
          <w:szCs w:val="28"/>
        </w:rPr>
        <w:t>单位名称</w:t>
      </w:r>
      <w:r>
        <w:rPr>
          <w:rFonts w:hint="eastAsia" w:ascii="Times New Roman" w:eastAsia="黑体"/>
          <w:bCs/>
          <w:sz w:val="28"/>
          <w:szCs w:val="28"/>
          <w:lang w:eastAsia="zh-CN"/>
        </w:rPr>
        <w:t>：辽宁省计量科学研究院</w:t>
      </w:r>
    </w:p>
    <w:p w14:paraId="2B4D640B">
      <w:pPr>
        <w:pStyle w:val="14"/>
        <w:spacing w:before="0" w:line="240" w:lineRule="auto"/>
        <w:rPr>
          <w:rFonts w:hint="eastAsia" w:ascii="Times New Roman" w:eastAsia="黑体"/>
          <w:sz w:val="28"/>
          <w:szCs w:val="28"/>
        </w:rPr>
      </w:pPr>
      <w:r>
        <w:rPr>
          <w:rFonts w:ascii="Times New Roman" w:eastAsia="黑体"/>
          <w:sz w:val="28"/>
          <w:szCs w:val="28"/>
        </w:rPr>
        <w:t xml:space="preserve">  </w:t>
      </w:r>
      <w:r>
        <w:rPr>
          <w:rFonts w:hint="eastAsia" w:ascii="Times New Roman" w:eastAsia="黑体"/>
          <w:sz w:val="28"/>
          <w:szCs w:val="28"/>
          <w:lang w:val="en-US" w:eastAsia="zh-CN"/>
        </w:rPr>
        <w:t>2026</w:t>
      </w:r>
      <w:r>
        <w:rPr>
          <w:rFonts w:ascii="Times New Roman" w:eastAsia="黑体"/>
          <w:sz w:val="28"/>
          <w:szCs w:val="28"/>
        </w:rPr>
        <w:t>年</w:t>
      </w:r>
      <w:r>
        <w:rPr>
          <w:rFonts w:hint="eastAsia" w:ascii="Times New Roman" w:eastAsia="黑体"/>
          <w:sz w:val="28"/>
          <w:szCs w:val="28"/>
          <w:lang w:val="en-US" w:eastAsia="zh-CN"/>
        </w:rPr>
        <w:t>2</w:t>
      </w:r>
      <w:r>
        <w:rPr>
          <w:rFonts w:ascii="Times New Roman" w:eastAsia="黑体"/>
          <w:sz w:val="28"/>
          <w:szCs w:val="28"/>
        </w:rPr>
        <w:t>月</w:t>
      </w:r>
    </w:p>
    <w:p w14:paraId="3FE96498">
      <w:pPr>
        <w:pStyle w:val="2"/>
        <w:numPr>
          <w:ilvl w:val="0"/>
          <w:numId w:val="1"/>
        </w:numPr>
        <w:spacing w:before="0" w:after="0" w:line="440" w:lineRule="exact"/>
        <w:rPr>
          <w:rFonts w:eastAsia="黑体"/>
          <w:b w:val="0"/>
          <w:bCs w:val="0"/>
          <w:sz w:val="28"/>
          <w:szCs w:val="28"/>
        </w:rPr>
        <w:sectPr>
          <w:footerReference r:id="rId3" w:type="default"/>
          <w:pgSz w:w="11906" w:h="16838"/>
          <w:pgMar w:top="1418" w:right="1418" w:bottom="1418" w:left="1418" w:header="851" w:footer="992" w:gutter="0"/>
          <w:pgNumType w:start="1"/>
          <w:cols w:space="720" w:num="1"/>
          <w:titlePg/>
          <w:docGrid w:type="lines" w:linePitch="500" w:charSpace="0"/>
        </w:sectPr>
      </w:pPr>
      <w:bookmarkStart w:id="0" w:name="_Toc75299184"/>
      <w:bookmarkStart w:id="1" w:name="_Toc519327148"/>
    </w:p>
    <w:p w14:paraId="0A1A14AC">
      <w:pPr>
        <w:pStyle w:val="2"/>
        <w:numPr>
          <w:ilvl w:val="0"/>
          <w:numId w:val="1"/>
        </w:numPr>
        <w:spacing w:before="0" w:after="0" w:line="440" w:lineRule="exact"/>
        <w:rPr>
          <w:rFonts w:eastAsia="黑体"/>
          <w:b w:val="0"/>
          <w:bCs w:val="0"/>
          <w:sz w:val="28"/>
          <w:szCs w:val="28"/>
        </w:rPr>
        <w:sectPr>
          <w:type w:val="continuous"/>
          <w:pgSz w:w="11906" w:h="16838"/>
          <w:pgMar w:top="1418" w:right="1418" w:bottom="1418" w:left="1418" w:header="851" w:footer="992" w:gutter="0"/>
          <w:cols w:space="720" w:num="1"/>
          <w:docGrid w:type="lines" w:linePitch="500" w:charSpace="0"/>
        </w:sectPr>
      </w:pPr>
    </w:p>
    <w:p w14:paraId="2D79117A">
      <w:pPr>
        <w:pStyle w:val="14"/>
        <w:keepNext w:val="0"/>
        <w:keepLines w:val="0"/>
        <w:pageBreakBefore w:val="0"/>
        <w:widowControl/>
        <w:kinsoku/>
        <w:wordWrap/>
        <w:overflowPunct/>
        <w:topLinePunct w:val="0"/>
        <w:autoSpaceDE/>
        <w:autoSpaceDN/>
        <w:bidi w:val="0"/>
        <w:adjustRightInd/>
        <w:snapToGrid/>
        <w:spacing w:before="313" w:beforeLines="100" w:after="313" w:afterLines="100"/>
        <w:textAlignment w:val="auto"/>
        <w:rPr>
          <w:rFonts w:hint="eastAsia" w:eastAsia="黑体"/>
          <w:sz w:val="28"/>
          <w:szCs w:val="28"/>
          <w:lang w:val="en-US" w:eastAsia="zh-CN"/>
        </w:rPr>
      </w:pPr>
      <w:r>
        <w:rPr>
          <w:rFonts w:hint="eastAsia" w:ascii="Times New Roman" w:eastAsia="黑体"/>
          <w:kern w:val="2"/>
          <w:sz w:val="44"/>
          <w:szCs w:val="44"/>
        </w:rPr>
        <w:t>《微量法残炭测定仪校准规范</w:t>
      </w:r>
      <w:r>
        <w:rPr>
          <w:rFonts w:ascii="Times New Roman" w:eastAsia="黑体"/>
          <w:kern w:val="2"/>
          <w:sz w:val="44"/>
          <w:szCs w:val="44"/>
        </w:rPr>
        <w:t>》</w:t>
      </w:r>
    </w:p>
    <w:p w14:paraId="071F4E38">
      <w:pPr>
        <w:numPr>
          <w:ilvl w:val="0"/>
          <w:numId w:val="0"/>
        </w:numPr>
        <w:spacing w:line="360" w:lineRule="auto"/>
        <w:ind w:leftChars="0"/>
        <w:rPr>
          <w:rFonts w:hint="eastAsia" w:eastAsia="黑体"/>
          <w:sz w:val="28"/>
          <w:szCs w:val="28"/>
        </w:rPr>
      </w:pPr>
      <w:r>
        <w:rPr>
          <w:rFonts w:hint="eastAsia" w:eastAsia="黑体"/>
          <w:sz w:val="28"/>
          <w:szCs w:val="28"/>
          <w:lang w:val="en-US" w:eastAsia="zh-CN"/>
        </w:rPr>
        <w:t xml:space="preserve">1  </w:t>
      </w:r>
      <w:r>
        <w:rPr>
          <w:rFonts w:hint="eastAsia" w:eastAsia="黑体"/>
          <w:sz w:val="28"/>
          <w:szCs w:val="28"/>
        </w:rPr>
        <w:t>工作简况</w:t>
      </w:r>
      <w:bookmarkEnd w:id="0"/>
    </w:p>
    <w:p w14:paraId="66A3303E">
      <w:pPr>
        <w:widowControl/>
        <w:spacing w:line="440" w:lineRule="exact"/>
        <w:rPr>
          <w:rFonts w:hint="eastAsia" w:eastAsia="黑体"/>
          <w:kern w:val="0"/>
          <w:sz w:val="28"/>
          <w:szCs w:val="28"/>
          <w:lang w:val="en-US" w:eastAsia="zh-CN"/>
        </w:rPr>
      </w:pPr>
      <w:bookmarkStart w:id="2" w:name="_Toc75299185"/>
      <w:r>
        <w:rPr>
          <w:rFonts w:hint="eastAsia" w:eastAsia="黑体"/>
          <w:kern w:val="0"/>
          <w:sz w:val="28"/>
          <w:szCs w:val="28"/>
          <w:lang w:val="en-US" w:eastAsia="zh-CN"/>
        </w:rPr>
        <w:t>1.1  任务来源</w:t>
      </w:r>
      <w:bookmarkEnd w:id="1"/>
      <w:bookmarkEnd w:id="2"/>
    </w:p>
    <w:p w14:paraId="34D5646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ascii="宋体" w:cs="宋体"/>
          <w:color w:val="000000"/>
          <w:kern w:val="0"/>
          <w:sz w:val="24"/>
        </w:rPr>
      </w:pPr>
      <w:bookmarkStart w:id="3" w:name="_Toc75299186"/>
      <w:r>
        <w:rPr>
          <w:rFonts w:hint="eastAsia" w:ascii="宋体" w:cs="宋体"/>
          <w:color w:val="000000"/>
          <w:kern w:val="0"/>
          <w:sz w:val="24"/>
        </w:rPr>
        <w:t>根据国家市场监督</w:t>
      </w:r>
      <w:r>
        <w:rPr>
          <w:rFonts w:ascii="宋体" w:cs="宋体"/>
          <w:color w:val="000000"/>
          <w:kern w:val="0"/>
          <w:sz w:val="24"/>
        </w:rPr>
        <w:t>管理总局</w:t>
      </w:r>
      <w:r>
        <w:rPr>
          <w:rFonts w:hint="eastAsia" w:ascii="宋体" w:cs="宋体"/>
          <w:color w:val="000000"/>
          <w:kern w:val="0"/>
          <w:sz w:val="24"/>
        </w:rPr>
        <w:t>办公</w:t>
      </w:r>
      <w:r>
        <w:rPr>
          <w:rFonts w:ascii="宋体" w:cs="宋体"/>
          <w:color w:val="000000"/>
          <w:kern w:val="0"/>
          <w:sz w:val="24"/>
        </w:rPr>
        <w:t>厅</w:t>
      </w:r>
      <w:r>
        <w:rPr>
          <w:rFonts w:hint="eastAsia" w:ascii="宋体" w:cs="宋体"/>
          <w:color w:val="000000"/>
          <w:kern w:val="0"/>
          <w:sz w:val="24"/>
        </w:rPr>
        <w:t>文件《市场监管总局办公厅关于印发202</w:t>
      </w:r>
      <w:r>
        <w:rPr>
          <w:rFonts w:ascii="宋体" w:cs="宋体"/>
          <w:color w:val="000000"/>
          <w:kern w:val="0"/>
          <w:sz w:val="24"/>
        </w:rPr>
        <w:t>4</w:t>
      </w:r>
      <w:r>
        <w:rPr>
          <w:rFonts w:hint="eastAsia" w:ascii="宋体" w:cs="宋体"/>
          <w:color w:val="000000"/>
          <w:kern w:val="0"/>
          <w:sz w:val="24"/>
        </w:rPr>
        <w:t>年国家计量技术规范项目制定、修订及宣贯计划的通知》（市</w:t>
      </w:r>
      <w:r>
        <w:rPr>
          <w:rFonts w:ascii="宋体" w:cs="宋体"/>
          <w:color w:val="000000"/>
          <w:kern w:val="0"/>
          <w:sz w:val="24"/>
        </w:rPr>
        <w:t>监</w:t>
      </w:r>
      <w:r>
        <w:rPr>
          <w:rFonts w:hint="eastAsia" w:ascii="宋体" w:cs="宋体"/>
          <w:color w:val="000000"/>
          <w:kern w:val="0"/>
          <w:sz w:val="24"/>
        </w:rPr>
        <w:t>计量发[</w:t>
      </w:r>
      <w:r>
        <w:rPr>
          <w:rFonts w:ascii="宋体" w:cs="宋体"/>
          <w:color w:val="000000"/>
          <w:kern w:val="0"/>
          <w:sz w:val="24"/>
        </w:rPr>
        <w:t>2024</w:t>
      </w:r>
      <w:r>
        <w:rPr>
          <w:rFonts w:hint="eastAsia" w:ascii="宋体" w:cs="宋体"/>
          <w:color w:val="000000"/>
          <w:kern w:val="0"/>
          <w:sz w:val="24"/>
        </w:rPr>
        <w:t>]</w:t>
      </w:r>
      <w:r>
        <w:rPr>
          <w:rFonts w:ascii="宋体" w:cs="宋体"/>
          <w:color w:val="000000"/>
          <w:kern w:val="0"/>
          <w:sz w:val="24"/>
        </w:rPr>
        <w:t>40</w:t>
      </w:r>
      <w:r>
        <w:rPr>
          <w:rFonts w:hint="eastAsia" w:ascii="宋体" w:cs="宋体"/>
          <w:color w:val="000000"/>
          <w:kern w:val="0"/>
          <w:sz w:val="24"/>
        </w:rPr>
        <w:t>号）要求，《微量法残炭测定仪校准规范》列入202</w:t>
      </w:r>
      <w:r>
        <w:rPr>
          <w:rFonts w:ascii="宋体" w:cs="宋体"/>
          <w:color w:val="000000"/>
          <w:kern w:val="0"/>
          <w:sz w:val="24"/>
        </w:rPr>
        <w:t>4</w:t>
      </w:r>
      <w:r>
        <w:rPr>
          <w:rFonts w:hint="eastAsia" w:ascii="宋体" w:cs="宋体"/>
          <w:color w:val="000000"/>
          <w:kern w:val="0"/>
          <w:sz w:val="24"/>
        </w:rPr>
        <w:t>年国家</w:t>
      </w:r>
      <w:r>
        <w:rPr>
          <w:rFonts w:ascii="宋体" w:cs="宋体"/>
          <w:color w:val="000000"/>
          <w:kern w:val="0"/>
          <w:sz w:val="24"/>
        </w:rPr>
        <w:t>计量</w:t>
      </w:r>
      <w:r>
        <w:rPr>
          <w:rFonts w:hint="eastAsia" w:ascii="宋体" w:cs="宋体"/>
          <w:color w:val="000000"/>
          <w:kern w:val="0"/>
          <w:sz w:val="24"/>
        </w:rPr>
        <w:t>技术</w:t>
      </w:r>
      <w:r>
        <w:rPr>
          <w:rFonts w:ascii="宋体" w:cs="宋体"/>
          <w:color w:val="000000"/>
          <w:kern w:val="0"/>
          <w:sz w:val="24"/>
        </w:rPr>
        <w:t>规范</w:t>
      </w:r>
      <w:r>
        <w:rPr>
          <w:rFonts w:hint="eastAsia" w:ascii="宋体" w:cs="宋体"/>
          <w:color w:val="000000"/>
          <w:kern w:val="0"/>
          <w:sz w:val="24"/>
        </w:rPr>
        <w:t>项目</w:t>
      </w:r>
      <w:r>
        <w:rPr>
          <w:rFonts w:ascii="宋体" w:cs="宋体"/>
          <w:color w:val="000000"/>
          <w:kern w:val="0"/>
          <w:sz w:val="24"/>
        </w:rPr>
        <w:t>制定计划</w:t>
      </w:r>
      <w:r>
        <w:rPr>
          <w:rFonts w:hint="eastAsia" w:ascii="宋体" w:cs="宋体"/>
          <w:color w:val="000000"/>
          <w:kern w:val="0"/>
          <w:sz w:val="24"/>
        </w:rPr>
        <w:t>（计划项目编号：MTC42－202</w:t>
      </w:r>
      <w:r>
        <w:rPr>
          <w:rFonts w:ascii="宋体" w:cs="宋体"/>
          <w:color w:val="000000"/>
          <w:kern w:val="0"/>
          <w:sz w:val="24"/>
        </w:rPr>
        <w:t>4</w:t>
      </w:r>
      <w:r>
        <w:rPr>
          <w:rFonts w:hint="eastAsia" w:ascii="宋体" w:cs="宋体"/>
          <w:color w:val="000000"/>
          <w:kern w:val="0"/>
          <w:sz w:val="24"/>
        </w:rPr>
        <w:t>－0</w:t>
      </w:r>
      <w:r>
        <w:rPr>
          <w:rFonts w:ascii="宋体" w:cs="宋体"/>
          <w:color w:val="000000"/>
          <w:kern w:val="0"/>
          <w:sz w:val="24"/>
        </w:rPr>
        <w:t>2</w:t>
      </w:r>
      <w:r>
        <w:rPr>
          <w:rFonts w:hint="eastAsia" w:ascii="宋体" w:cs="宋体"/>
          <w:color w:val="000000"/>
          <w:kern w:val="0"/>
          <w:sz w:val="24"/>
        </w:rPr>
        <w:t>）</w:t>
      </w:r>
      <w:r>
        <w:rPr>
          <w:rFonts w:ascii="宋体" w:cs="宋体"/>
          <w:color w:val="000000"/>
          <w:kern w:val="0"/>
          <w:sz w:val="24"/>
        </w:rPr>
        <w:t>，</w:t>
      </w:r>
      <w:r>
        <w:rPr>
          <w:rFonts w:hint="eastAsia" w:ascii="宋体" w:cs="宋体"/>
          <w:color w:val="000000"/>
          <w:kern w:val="0"/>
          <w:sz w:val="24"/>
        </w:rPr>
        <w:t>《微量法残炭测定仪校准规范》的</w:t>
      </w:r>
      <w:r>
        <w:rPr>
          <w:rFonts w:ascii="宋体" w:cs="宋体"/>
          <w:color w:val="000000"/>
          <w:kern w:val="0"/>
          <w:sz w:val="24"/>
        </w:rPr>
        <w:t>制定</w:t>
      </w:r>
      <w:r>
        <w:rPr>
          <w:rFonts w:hint="eastAsia" w:ascii="宋体" w:cs="宋体"/>
          <w:color w:val="000000"/>
          <w:kern w:val="0"/>
          <w:sz w:val="24"/>
        </w:rPr>
        <w:t>工作在全国法制计量管理计量技术委员会指导</w:t>
      </w:r>
      <w:r>
        <w:rPr>
          <w:rFonts w:ascii="宋体" w:cs="宋体"/>
          <w:color w:val="000000"/>
          <w:kern w:val="0"/>
          <w:sz w:val="24"/>
        </w:rPr>
        <w:t>下，</w:t>
      </w:r>
      <w:r>
        <w:rPr>
          <w:rFonts w:hint="eastAsia" w:ascii="宋体" w:cs="宋体"/>
          <w:color w:val="000000"/>
          <w:kern w:val="0"/>
          <w:sz w:val="24"/>
        </w:rPr>
        <w:t>由辽宁省计量科学研究院负责制定</w:t>
      </w:r>
      <w:r>
        <w:rPr>
          <w:rFonts w:ascii="宋体" w:cs="宋体"/>
          <w:color w:val="000000"/>
          <w:kern w:val="0"/>
          <w:sz w:val="24"/>
        </w:rPr>
        <w:t>工作，</w:t>
      </w:r>
      <w:r>
        <w:rPr>
          <w:rFonts w:hint="eastAsia" w:ascii="宋体" w:cs="宋体"/>
          <w:color w:val="000000"/>
          <w:kern w:val="0"/>
          <w:sz w:val="24"/>
        </w:rPr>
        <w:t>计划报批时间为20</w:t>
      </w:r>
      <w:r>
        <w:rPr>
          <w:rFonts w:ascii="宋体" w:cs="宋体"/>
          <w:color w:val="000000"/>
          <w:kern w:val="0"/>
          <w:sz w:val="24"/>
        </w:rPr>
        <w:t>26</w:t>
      </w:r>
      <w:r>
        <w:rPr>
          <w:rFonts w:hint="eastAsia" w:ascii="宋体" w:cs="宋体"/>
          <w:color w:val="000000"/>
          <w:kern w:val="0"/>
          <w:sz w:val="24"/>
        </w:rPr>
        <w:t>年第4季。</w:t>
      </w:r>
    </w:p>
    <w:p w14:paraId="130669A8">
      <w:pPr>
        <w:widowControl/>
        <w:spacing w:line="440" w:lineRule="exact"/>
        <w:rPr>
          <w:rFonts w:hint="default" w:eastAsia="黑体"/>
          <w:kern w:val="0"/>
          <w:sz w:val="28"/>
          <w:szCs w:val="28"/>
          <w:lang w:val="en-US" w:eastAsia="zh-CN"/>
        </w:rPr>
      </w:pPr>
      <w:r>
        <w:rPr>
          <w:rFonts w:hint="eastAsia" w:eastAsia="黑体"/>
          <w:kern w:val="0"/>
          <w:sz w:val="28"/>
          <w:szCs w:val="28"/>
          <w:lang w:val="en-US" w:eastAsia="zh-CN"/>
        </w:rPr>
        <w:t>1.2</w:t>
      </w:r>
      <w:bookmarkEnd w:id="3"/>
      <w:r>
        <w:rPr>
          <w:rFonts w:hint="eastAsia" w:eastAsia="黑体"/>
          <w:kern w:val="0"/>
          <w:sz w:val="28"/>
          <w:szCs w:val="28"/>
          <w:lang w:val="en-US" w:eastAsia="zh-CN"/>
        </w:rPr>
        <w:t xml:space="preserve">  编写依据</w:t>
      </w:r>
    </w:p>
    <w:p w14:paraId="70436F55">
      <w:pPr>
        <w:autoSpaceDE w:val="0"/>
        <w:autoSpaceDN w:val="0"/>
        <w:adjustRightInd w:val="0"/>
        <w:spacing w:line="360" w:lineRule="auto"/>
        <w:ind w:firstLine="480" w:firstLineChars="200"/>
        <w:rPr>
          <w:rFonts w:ascii="宋体" w:cs="宋体"/>
          <w:color w:val="000000"/>
          <w:kern w:val="0"/>
          <w:sz w:val="24"/>
        </w:rPr>
      </w:pPr>
      <w:r>
        <w:rPr>
          <w:rFonts w:hint="eastAsia" w:ascii="宋体" w:cs="宋体"/>
          <w:color w:val="000000"/>
          <w:kern w:val="0"/>
          <w:sz w:val="24"/>
        </w:rPr>
        <w:t>残炭是指在规定条件下，油品在裂解中所形成的残留物。残炭值主要用于评估油品（如润滑油、燃料油、沥青等）在高温条件下的结焦倾向或炭残留特性，是高温加热试样前后的质量百分比，单位是%。在石油</w:t>
      </w:r>
      <w:r>
        <w:rPr>
          <w:rFonts w:ascii="宋体" w:cs="宋体"/>
          <w:color w:val="000000"/>
          <w:kern w:val="0"/>
          <w:sz w:val="24"/>
        </w:rPr>
        <w:t>化工领域</w:t>
      </w:r>
      <w:r>
        <w:rPr>
          <w:rFonts w:hint="eastAsia" w:ascii="宋体" w:cs="宋体"/>
          <w:color w:val="000000"/>
          <w:kern w:val="0"/>
          <w:sz w:val="24"/>
        </w:rPr>
        <w:t>残炭值是油品中胶状物质和不稳定化合物含量的间接指标，</w:t>
      </w:r>
      <w:r>
        <w:rPr>
          <w:rFonts w:ascii="宋体" w:cs="宋体"/>
          <w:color w:val="000000"/>
          <w:kern w:val="0"/>
          <w:sz w:val="24"/>
        </w:rPr>
        <w:t>可用于</w:t>
      </w:r>
      <w:r>
        <w:rPr>
          <w:rFonts w:hint="eastAsia" w:ascii="宋体" w:cs="宋体"/>
          <w:color w:val="000000"/>
          <w:kern w:val="0"/>
          <w:sz w:val="24"/>
        </w:rPr>
        <w:t>预测原油、渣油、沥青等重质油品在加工过程中结焦倾向，指导炼油工艺优化（如催化裂化、焦化装置）；评估润滑油基础油、燃料油（如船用燃料油）的清洁性，可反映润滑油的精致程度；分析生物柴油、乙醇燃料等可再生燃料的相关特性，确保产品质量；在焦化原料油中的残炭值则间接表明了焦炭的产率，残炭值越大，焦炭产量越高；在</w:t>
      </w:r>
      <w:r>
        <w:rPr>
          <w:rFonts w:ascii="宋体" w:cs="宋体"/>
          <w:color w:val="000000"/>
          <w:kern w:val="0"/>
          <w:sz w:val="24"/>
        </w:rPr>
        <w:t>化工</w:t>
      </w:r>
      <w:r>
        <w:rPr>
          <w:rFonts w:hint="eastAsia" w:ascii="宋体" w:cs="宋体"/>
          <w:color w:val="000000"/>
          <w:kern w:val="0"/>
          <w:sz w:val="24"/>
        </w:rPr>
        <w:t>与</w:t>
      </w:r>
      <w:r>
        <w:rPr>
          <w:rFonts w:ascii="宋体" w:cs="宋体"/>
          <w:color w:val="000000"/>
          <w:kern w:val="0"/>
          <w:sz w:val="24"/>
        </w:rPr>
        <w:t>材料领域</w:t>
      </w:r>
      <w:r>
        <w:rPr>
          <w:rFonts w:hint="eastAsia" w:ascii="宋体" w:cs="宋体"/>
          <w:color w:val="000000"/>
          <w:kern w:val="0"/>
          <w:sz w:val="24"/>
        </w:rPr>
        <w:t>，测量</w:t>
      </w:r>
      <w:r>
        <w:rPr>
          <w:rFonts w:ascii="宋体" w:cs="宋体"/>
          <w:color w:val="000000"/>
          <w:kern w:val="0"/>
          <w:sz w:val="24"/>
        </w:rPr>
        <w:t>残炭</w:t>
      </w:r>
      <w:r>
        <w:rPr>
          <w:rFonts w:hint="eastAsia" w:ascii="宋体" w:cs="宋体"/>
          <w:color w:val="000000"/>
          <w:kern w:val="0"/>
          <w:sz w:val="24"/>
        </w:rPr>
        <w:t>值可用于</w:t>
      </w:r>
      <w:r>
        <w:rPr>
          <w:rFonts w:ascii="宋体" w:cs="宋体"/>
          <w:color w:val="000000"/>
          <w:kern w:val="0"/>
          <w:sz w:val="24"/>
        </w:rPr>
        <w:t>了解</w:t>
      </w:r>
      <w:r>
        <w:rPr>
          <w:rFonts w:hint="eastAsia" w:ascii="宋体" w:cs="宋体"/>
          <w:color w:val="000000"/>
          <w:kern w:val="0"/>
          <w:sz w:val="24"/>
        </w:rPr>
        <w:t>橡胶、塑料等高分子材料热裂解行为，评估添加剂（如阻燃剂）对材料热稳定性的影响，在开发催化剂</w:t>
      </w:r>
      <w:r>
        <w:rPr>
          <w:rFonts w:ascii="宋体" w:cs="宋体"/>
          <w:color w:val="000000"/>
          <w:kern w:val="0"/>
          <w:sz w:val="24"/>
        </w:rPr>
        <w:t>时</w:t>
      </w:r>
      <w:r>
        <w:rPr>
          <w:rFonts w:hint="eastAsia" w:ascii="宋体" w:cs="宋体"/>
          <w:color w:val="000000"/>
          <w:kern w:val="0"/>
          <w:sz w:val="24"/>
        </w:rPr>
        <w:t>评估催化剂载体（如分子筛）在反应过程中积碳情况，优化催化剂再生周期；在煤炭</w:t>
      </w:r>
      <w:r>
        <w:rPr>
          <w:rFonts w:ascii="宋体" w:cs="宋体"/>
          <w:color w:val="000000"/>
          <w:kern w:val="0"/>
          <w:sz w:val="24"/>
        </w:rPr>
        <w:t>与煤化工</w:t>
      </w:r>
      <w:r>
        <w:rPr>
          <w:rFonts w:hint="eastAsia" w:ascii="宋体" w:cs="宋体"/>
          <w:color w:val="000000"/>
          <w:kern w:val="0"/>
          <w:sz w:val="24"/>
        </w:rPr>
        <w:t>、新型燃料、润滑油或高分子材料的</w:t>
      </w:r>
      <w:r>
        <w:rPr>
          <w:rFonts w:ascii="宋体" w:cs="宋体"/>
          <w:color w:val="000000"/>
          <w:kern w:val="0"/>
          <w:sz w:val="24"/>
        </w:rPr>
        <w:t>研发与质量控制方面</w:t>
      </w:r>
      <w:r>
        <w:rPr>
          <w:rFonts w:hint="eastAsia" w:ascii="宋体" w:cs="宋体"/>
          <w:color w:val="000000"/>
          <w:kern w:val="0"/>
          <w:sz w:val="24"/>
        </w:rPr>
        <w:t>残炭</w:t>
      </w:r>
      <w:r>
        <w:rPr>
          <w:rFonts w:ascii="宋体" w:cs="宋体"/>
          <w:color w:val="000000"/>
          <w:kern w:val="0"/>
          <w:sz w:val="24"/>
        </w:rPr>
        <w:t>的测定</w:t>
      </w:r>
      <w:r>
        <w:rPr>
          <w:rFonts w:hint="eastAsia" w:ascii="宋体" w:cs="宋体"/>
          <w:color w:val="000000"/>
          <w:kern w:val="0"/>
          <w:sz w:val="24"/>
        </w:rPr>
        <w:t>同样</w:t>
      </w:r>
      <w:r>
        <w:rPr>
          <w:rFonts w:ascii="宋体" w:cs="宋体"/>
          <w:color w:val="000000"/>
          <w:kern w:val="0"/>
          <w:sz w:val="24"/>
        </w:rPr>
        <w:t>有重要作用。</w:t>
      </w:r>
      <w:r>
        <w:rPr>
          <w:rFonts w:hint="eastAsia" w:ascii="宋体" w:cs="宋体"/>
          <w:color w:val="000000"/>
          <w:kern w:val="0"/>
          <w:sz w:val="24"/>
        </w:rPr>
        <w:t>因此，石油产品的残炭值对于油品质量的保障和产量控制至关重要。主要测量方法有</w:t>
      </w:r>
      <w:r>
        <w:rPr>
          <w:rFonts w:ascii="宋体" w:cs="宋体"/>
          <w:color w:val="000000"/>
          <w:kern w:val="0"/>
          <w:sz w:val="24"/>
        </w:rPr>
        <w:t>微量残炭法</w:t>
      </w:r>
      <w:r>
        <w:rPr>
          <w:rFonts w:hint="eastAsia" w:ascii="宋体" w:cs="宋体"/>
          <w:color w:val="000000"/>
          <w:kern w:val="0"/>
          <w:sz w:val="24"/>
        </w:rPr>
        <w:t>、</w:t>
      </w:r>
      <w:bookmarkStart w:id="4" w:name="OLE_LINK1"/>
      <w:r>
        <w:rPr>
          <w:rFonts w:hint="eastAsia" w:ascii="宋体" w:cs="宋体"/>
          <w:color w:val="000000"/>
          <w:kern w:val="0"/>
          <w:sz w:val="24"/>
        </w:rPr>
        <w:t>康氏</w:t>
      </w:r>
      <w:r>
        <w:rPr>
          <w:rFonts w:ascii="宋体" w:cs="宋体"/>
          <w:color w:val="000000"/>
          <w:kern w:val="0"/>
          <w:sz w:val="24"/>
        </w:rPr>
        <w:t>残炭</w:t>
      </w:r>
      <w:r>
        <w:rPr>
          <w:rFonts w:hint="eastAsia" w:ascii="宋体" w:cs="宋体"/>
          <w:color w:val="000000"/>
          <w:kern w:val="0"/>
          <w:sz w:val="24"/>
        </w:rPr>
        <w:t>法</w:t>
      </w:r>
      <w:bookmarkEnd w:id="4"/>
      <w:r>
        <w:rPr>
          <w:rFonts w:ascii="宋体" w:cs="宋体"/>
          <w:color w:val="000000"/>
          <w:kern w:val="0"/>
          <w:sz w:val="24"/>
        </w:rPr>
        <w:t>、</w:t>
      </w:r>
      <w:r>
        <w:rPr>
          <w:rFonts w:hint="eastAsia" w:ascii="宋体" w:cs="宋体"/>
          <w:color w:val="000000"/>
          <w:kern w:val="0"/>
          <w:sz w:val="24"/>
        </w:rPr>
        <w:t>兰</w:t>
      </w:r>
      <w:r>
        <w:rPr>
          <w:rFonts w:ascii="宋体" w:cs="宋体"/>
          <w:color w:val="000000"/>
          <w:kern w:val="0"/>
          <w:sz w:val="24"/>
        </w:rPr>
        <w:t>氏残炭</w:t>
      </w:r>
      <w:r>
        <w:rPr>
          <w:rFonts w:hint="eastAsia" w:ascii="宋体" w:cs="宋体"/>
          <w:color w:val="000000"/>
          <w:kern w:val="0"/>
          <w:sz w:val="24"/>
        </w:rPr>
        <w:t>法以及电</w:t>
      </w:r>
      <w:r>
        <w:rPr>
          <w:rFonts w:ascii="宋体" w:cs="宋体"/>
          <w:color w:val="000000"/>
          <w:kern w:val="0"/>
          <w:sz w:val="24"/>
        </w:rPr>
        <w:t>炉残炭法</w:t>
      </w:r>
      <w:r>
        <w:rPr>
          <w:rFonts w:hint="eastAsia" w:ascii="宋体" w:cs="宋体"/>
          <w:color w:val="000000"/>
          <w:kern w:val="0"/>
          <w:sz w:val="24"/>
        </w:rPr>
        <w:t>。微量法是近些年国内外普遍采用的一种简便而高效的残炭测定方法，原理是将已称重的试样放人一个样品管中，在</w:t>
      </w:r>
      <w:r>
        <w:rPr>
          <w:rFonts w:ascii="宋体" w:cs="宋体"/>
          <w:color w:val="000000"/>
          <w:kern w:val="0"/>
          <w:sz w:val="24"/>
        </w:rPr>
        <w:t>规定的时间内以可控方式于</w:t>
      </w:r>
      <w:r>
        <w:rPr>
          <w:rFonts w:hint="eastAsia" w:ascii="宋体" w:cs="宋体"/>
          <w:color w:val="000000"/>
          <w:kern w:val="0"/>
          <w:sz w:val="24"/>
        </w:rPr>
        <w:t>氮气下加热到500</w:t>
      </w:r>
      <w:bookmarkStart w:id="5" w:name="OLE_LINK2"/>
      <w:r>
        <w:rPr>
          <w:rFonts w:hint="eastAsia" w:ascii="宋体" w:cs="宋体"/>
          <w:color w:val="000000"/>
          <w:kern w:val="0"/>
          <w:sz w:val="24"/>
        </w:rPr>
        <w:t>℃</w:t>
      </w:r>
      <w:bookmarkEnd w:id="5"/>
      <w:r>
        <w:rPr>
          <w:rFonts w:hint="eastAsia" w:ascii="宋体" w:cs="宋体"/>
          <w:color w:val="000000"/>
          <w:kern w:val="0"/>
          <w:sz w:val="24"/>
        </w:rPr>
        <w:t>，加热过程中易挥发性物质随氮气排出，称量</w:t>
      </w:r>
      <w:r>
        <w:rPr>
          <w:rFonts w:ascii="宋体" w:cs="宋体"/>
          <w:color w:val="000000"/>
          <w:kern w:val="0"/>
          <w:sz w:val="24"/>
        </w:rPr>
        <w:t>残留的</w:t>
      </w:r>
      <w:r>
        <w:rPr>
          <w:rFonts w:hint="eastAsia" w:ascii="宋体" w:cs="宋体"/>
          <w:color w:val="000000"/>
          <w:kern w:val="0"/>
          <w:sz w:val="24"/>
        </w:rPr>
        <w:t>炭质型残渣质量得到</w:t>
      </w:r>
      <w:r>
        <w:rPr>
          <w:rFonts w:ascii="宋体" w:cs="宋体"/>
          <w:color w:val="000000"/>
          <w:kern w:val="0"/>
          <w:sz w:val="24"/>
        </w:rPr>
        <w:t>残炭</w:t>
      </w:r>
      <w:r>
        <w:rPr>
          <w:rFonts w:hint="eastAsia" w:ascii="宋体" w:cs="宋体"/>
          <w:color w:val="000000"/>
          <w:kern w:val="0"/>
          <w:sz w:val="24"/>
        </w:rPr>
        <w:t>数值；康氏法是世界</w:t>
      </w:r>
      <w:r>
        <w:rPr>
          <w:rFonts w:ascii="宋体" w:cs="宋体"/>
          <w:color w:val="000000"/>
          <w:kern w:val="0"/>
          <w:sz w:val="24"/>
        </w:rPr>
        <w:t>各国普遍采用的一种标准方法，</w:t>
      </w:r>
      <w:r>
        <w:rPr>
          <w:rFonts w:hint="eastAsia" w:ascii="宋体" w:cs="宋体"/>
          <w:color w:val="000000"/>
          <w:kern w:val="0"/>
          <w:sz w:val="24"/>
        </w:rPr>
        <w:t>原理</w:t>
      </w:r>
      <w:r>
        <w:rPr>
          <w:rFonts w:ascii="宋体" w:cs="宋体"/>
          <w:color w:val="000000"/>
          <w:kern w:val="0"/>
          <w:sz w:val="24"/>
        </w:rPr>
        <w:t>是</w:t>
      </w:r>
      <w:r>
        <w:rPr>
          <w:rFonts w:hint="eastAsia" w:ascii="宋体" w:cs="宋体"/>
          <w:color w:val="000000"/>
          <w:kern w:val="0"/>
          <w:sz w:val="24"/>
        </w:rPr>
        <w:t>把已称重</w:t>
      </w:r>
      <w:r>
        <w:rPr>
          <w:rFonts w:ascii="宋体" w:cs="宋体"/>
          <w:color w:val="000000"/>
          <w:kern w:val="0"/>
          <w:sz w:val="24"/>
        </w:rPr>
        <w:t>的试样置于坩埚内进行分解蒸馏</w:t>
      </w:r>
      <w:r>
        <w:rPr>
          <w:rFonts w:hint="eastAsia" w:ascii="宋体" w:cs="宋体"/>
          <w:color w:val="000000"/>
          <w:kern w:val="0"/>
          <w:sz w:val="24"/>
        </w:rPr>
        <w:t>，残余物</w:t>
      </w:r>
      <w:r>
        <w:rPr>
          <w:rFonts w:ascii="宋体" w:cs="宋体"/>
          <w:color w:val="000000"/>
          <w:kern w:val="0"/>
          <w:sz w:val="24"/>
        </w:rPr>
        <w:t>经强烈加热</w:t>
      </w:r>
      <w:r>
        <w:rPr>
          <w:rFonts w:hint="eastAsia" w:ascii="宋体" w:cs="宋体"/>
          <w:color w:val="000000"/>
          <w:kern w:val="0"/>
          <w:sz w:val="24"/>
        </w:rPr>
        <w:t>一定时间</w:t>
      </w:r>
      <w:r>
        <w:rPr>
          <w:rFonts w:ascii="宋体" w:cs="宋体"/>
          <w:color w:val="000000"/>
          <w:kern w:val="0"/>
          <w:sz w:val="24"/>
        </w:rPr>
        <w:t>即进行裂化和焦化反应。</w:t>
      </w:r>
      <w:r>
        <w:rPr>
          <w:rFonts w:hint="eastAsia" w:ascii="宋体" w:cs="宋体"/>
          <w:color w:val="000000"/>
          <w:kern w:val="0"/>
          <w:sz w:val="24"/>
        </w:rPr>
        <w:t>在规定的加热</w:t>
      </w:r>
      <w:r>
        <w:rPr>
          <w:rFonts w:ascii="宋体" w:cs="宋体"/>
          <w:color w:val="000000"/>
          <w:kern w:val="0"/>
          <w:sz w:val="24"/>
        </w:rPr>
        <w:t>时间结束后</w:t>
      </w:r>
      <w:r>
        <w:rPr>
          <w:rFonts w:hint="eastAsia" w:ascii="宋体" w:cs="宋体"/>
          <w:color w:val="000000"/>
          <w:kern w:val="0"/>
          <w:sz w:val="24"/>
        </w:rPr>
        <w:t>，将</w:t>
      </w:r>
      <w:r>
        <w:rPr>
          <w:rFonts w:ascii="宋体" w:cs="宋体"/>
          <w:color w:val="000000"/>
          <w:kern w:val="0"/>
          <w:sz w:val="24"/>
        </w:rPr>
        <w:t>盛有碳质残余物</w:t>
      </w:r>
      <w:r>
        <w:rPr>
          <w:rFonts w:hint="eastAsia" w:ascii="宋体" w:cs="宋体"/>
          <w:color w:val="000000"/>
          <w:kern w:val="0"/>
          <w:sz w:val="24"/>
        </w:rPr>
        <w:t>的</w:t>
      </w:r>
      <w:r>
        <w:rPr>
          <w:rFonts w:ascii="宋体" w:cs="宋体"/>
          <w:color w:val="000000"/>
          <w:kern w:val="0"/>
          <w:sz w:val="24"/>
        </w:rPr>
        <w:t>坩埚</w:t>
      </w:r>
      <w:r>
        <w:rPr>
          <w:rFonts w:hint="eastAsia" w:ascii="宋体" w:cs="宋体"/>
          <w:color w:val="000000"/>
          <w:kern w:val="0"/>
          <w:sz w:val="24"/>
        </w:rPr>
        <w:t>于</w:t>
      </w:r>
      <w:r>
        <w:rPr>
          <w:rFonts w:ascii="宋体" w:cs="宋体"/>
          <w:color w:val="000000"/>
          <w:kern w:val="0"/>
          <w:sz w:val="24"/>
        </w:rPr>
        <w:t>干燥器内冷却</w:t>
      </w:r>
      <w:r>
        <w:rPr>
          <w:rFonts w:hint="eastAsia" w:ascii="宋体" w:cs="宋体"/>
          <w:color w:val="000000"/>
          <w:kern w:val="0"/>
          <w:sz w:val="24"/>
        </w:rPr>
        <w:t>并</w:t>
      </w:r>
      <w:r>
        <w:rPr>
          <w:rFonts w:ascii="宋体" w:cs="宋体"/>
          <w:color w:val="000000"/>
          <w:kern w:val="0"/>
          <w:sz w:val="24"/>
        </w:rPr>
        <w:t>称重</w:t>
      </w:r>
      <w:r>
        <w:rPr>
          <w:rFonts w:hint="eastAsia" w:ascii="宋体" w:cs="宋体"/>
          <w:color w:val="000000"/>
          <w:kern w:val="0"/>
          <w:sz w:val="24"/>
        </w:rPr>
        <w:t>计算</w:t>
      </w:r>
      <w:r>
        <w:rPr>
          <w:rFonts w:ascii="宋体" w:cs="宋体"/>
          <w:color w:val="000000"/>
          <w:kern w:val="0"/>
          <w:sz w:val="24"/>
        </w:rPr>
        <w:t>残炭值；</w:t>
      </w:r>
      <w:r>
        <w:rPr>
          <w:rFonts w:hint="eastAsia" w:ascii="宋体" w:cs="宋体"/>
          <w:color w:val="000000"/>
          <w:kern w:val="0"/>
          <w:sz w:val="24"/>
        </w:rPr>
        <w:t>兰</w:t>
      </w:r>
      <w:r>
        <w:rPr>
          <w:rFonts w:ascii="宋体" w:cs="宋体"/>
          <w:color w:val="000000"/>
          <w:kern w:val="0"/>
          <w:sz w:val="24"/>
        </w:rPr>
        <w:t>氏残炭法原理是</w:t>
      </w:r>
      <w:r>
        <w:rPr>
          <w:rFonts w:hint="eastAsia" w:ascii="宋体" w:cs="宋体"/>
          <w:color w:val="000000"/>
          <w:kern w:val="0"/>
          <w:sz w:val="24"/>
        </w:rPr>
        <w:t>将样品装入特制</w:t>
      </w:r>
      <w:r>
        <w:rPr>
          <w:rFonts w:ascii="宋体" w:cs="宋体"/>
          <w:color w:val="000000"/>
          <w:kern w:val="0"/>
          <w:sz w:val="24"/>
        </w:rPr>
        <w:t>的带有毛细管的</w:t>
      </w:r>
      <w:r>
        <w:rPr>
          <w:rFonts w:hint="eastAsia" w:ascii="宋体" w:cs="宋体"/>
          <w:color w:val="000000"/>
          <w:kern w:val="0"/>
          <w:sz w:val="24"/>
        </w:rPr>
        <w:t>玻璃焦化</w:t>
      </w:r>
      <w:r>
        <w:rPr>
          <w:rFonts w:ascii="宋体" w:cs="宋体"/>
          <w:color w:val="000000"/>
          <w:kern w:val="0"/>
          <w:sz w:val="24"/>
        </w:rPr>
        <w:t>瓶</w:t>
      </w:r>
      <w:r>
        <w:rPr>
          <w:rFonts w:hint="eastAsia" w:ascii="宋体" w:cs="宋体"/>
          <w:color w:val="000000"/>
          <w:kern w:val="0"/>
          <w:sz w:val="24"/>
        </w:rPr>
        <w:t>中，并</w:t>
      </w:r>
      <w:r>
        <w:rPr>
          <w:rFonts w:ascii="宋体" w:cs="宋体"/>
          <w:color w:val="000000"/>
          <w:kern w:val="0"/>
          <w:sz w:val="24"/>
        </w:rPr>
        <w:t>置于温度维持在</w:t>
      </w:r>
      <w:r>
        <w:rPr>
          <w:rFonts w:hint="eastAsia" w:ascii="宋体" w:cs="宋体"/>
          <w:color w:val="000000"/>
          <w:kern w:val="0"/>
          <w:sz w:val="24"/>
        </w:rPr>
        <w:t>（550±5）℃的</w:t>
      </w:r>
      <w:r>
        <w:rPr>
          <w:rFonts w:ascii="宋体" w:cs="宋体"/>
          <w:color w:val="000000"/>
          <w:kern w:val="0"/>
          <w:sz w:val="24"/>
        </w:rPr>
        <w:t>金属炉</w:t>
      </w:r>
      <w:r>
        <w:rPr>
          <w:rFonts w:hint="eastAsia" w:ascii="宋体" w:cs="宋体"/>
          <w:color w:val="000000"/>
          <w:kern w:val="0"/>
          <w:sz w:val="24"/>
        </w:rPr>
        <w:t>内，将</w:t>
      </w:r>
      <w:r>
        <w:rPr>
          <w:rFonts w:ascii="宋体" w:cs="宋体"/>
          <w:color w:val="000000"/>
          <w:kern w:val="0"/>
          <w:sz w:val="24"/>
        </w:rPr>
        <w:t>试样迅速地加热到所有挥发性物质（</w:t>
      </w:r>
      <w:r>
        <w:rPr>
          <w:rFonts w:hint="eastAsia" w:ascii="宋体" w:cs="宋体"/>
          <w:color w:val="000000"/>
          <w:kern w:val="0"/>
          <w:sz w:val="24"/>
        </w:rPr>
        <w:t>包括</w:t>
      </w:r>
      <w:r>
        <w:rPr>
          <w:rFonts w:ascii="宋体" w:cs="宋体"/>
          <w:color w:val="000000"/>
          <w:kern w:val="0"/>
          <w:sz w:val="24"/>
        </w:rPr>
        <w:t>分解和没有分解的）</w:t>
      </w:r>
      <w:r>
        <w:rPr>
          <w:rFonts w:hint="eastAsia" w:ascii="宋体" w:cs="宋体"/>
          <w:color w:val="000000"/>
          <w:kern w:val="0"/>
          <w:sz w:val="24"/>
        </w:rPr>
        <w:t>都从</w:t>
      </w:r>
      <w:r>
        <w:rPr>
          <w:rFonts w:ascii="宋体" w:cs="宋体"/>
          <w:color w:val="000000"/>
          <w:kern w:val="0"/>
          <w:sz w:val="24"/>
        </w:rPr>
        <w:t>瓶口逸出</w:t>
      </w:r>
      <w:r>
        <w:rPr>
          <w:rFonts w:hint="eastAsia" w:ascii="宋体" w:cs="宋体"/>
          <w:color w:val="000000"/>
          <w:kern w:val="0"/>
          <w:sz w:val="24"/>
        </w:rPr>
        <w:t>的</w:t>
      </w:r>
      <w:r>
        <w:rPr>
          <w:rFonts w:ascii="宋体" w:cs="宋体"/>
          <w:color w:val="000000"/>
          <w:kern w:val="0"/>
          <w:sz w:val="24"/>
        </w:rPr>
        <w:t>温度，而较重的</w:t>
      </w:r>
      <w:r>
        <w:rPr>
          <w:rFonts w:hint="eastAsia" w:ascii="宋体" w:cs="宋体"/>
          <w:color w:val="000000"/>
          <w:kern w:val="0"/>
          <w:sz w:val="24"/>
        </w:rPr>
        <w:t>残留物则</w:t>
      </w:r>
      <w:r>
        <w:rPr>
          <w:rFonts w:ascii="宋体" w:cs="宋体"/>
          <w:color w:val="000000"/>
          <w:kern w:val="0"/>
          <w:sz w:val="24"/>
        </w:rPr>
        <w:t>留在瓶内进行裂化、焦化反应。</w:t>
      </w:r>
      <w:r>
        <w:rPr>
          <w:rFonts w:hint="eastAsia" w:ascii="宋体" w:cs="宋体"/>
          <w:color w:val="000000"/>
          <w:kern w:val="0"/>
          <w:sz w:val="24"/>
        </w:rPr>
        <w:t>在加热</w:t>
      </w:r>
      <w:r>
        <w:rPr>
          <w:rFonts w:ascii="宋体" w:cs="宋体"/>
          <w:color w:val="000000"/>
          <w:kern w:val="0"/>
          <w:sz w:val="24"/>
        </w:rPr>
        <w:t>周期的后阶段，焦炭或残炭进</w:t>
      </w:r>
      <w:r>
        <w:rPr>
          <w:rFonts w:hint="eastAsia" w:ascii="宋体" w:cs="宋体"/>
          <w:color w:val="000000"/>
          <w:kern w:val="0"/>
          <w:sz w:val="24"/>
        </w:rPr>
        <w:t>一步</w:t>
      </w:r>
      <w:r>
        <w:rPr>
          <w:rFonts w:ascii="宋体" w:cs="宋体"/>
          <w:color w:val="000000"/>
          <w:kern w:val="0"/>
          <w:sz w:val="24"/>
        </w:rPr>
        <w:t>缓慢分解或由于</w:t>
      </w:r>
      <w:r>
        <w:rPr>
          <w:rFonts w:hint="eastAsia" w:ascii="宋体" w:cs="宋体"/>
          <w:color w:val="000000"/>
          <w:kern w:val="0"/>
          <w:sz w:val="24"/>
        </w:rPr>
        <w:t>空气可能</w:t>
      </w:r>
      <w:r>
        <w:rPr>
          <w:rFonts w:ascii="宋体" w:cs="宋体"/>
          <w:color w:val="000000"/>
          <w:kern w:val="0"/>
          <w:sz w:val="24"/>
        </w:rPr>
        <w:t>被吸入瓶内而有</w:t>
      </w:r>
      <w:r>
        <w:rPr>
          <w:rFonts w:hint="eastAsia" w:ascii="宋体" w:cs="宋体"/>
          <w:color w:val="000000"/>
          <w:kern w:val="0"/>
          <w:sz w:val="24"/>
        </w:rPr>
        <w:t>轻微</w:t>
      </w:r>
      <w:r>
        <w:rPr>
          <w:rFonts w:ascii="宋体" w:cs="宋体"/>
          <w:color w:val="000000"/>
          <w:kern w:val="0"/>
          <w:sz w:val="24"/>
        </w:rPr>
        <w:t>的氧化，在规定的加热周期之后，将焦化瓶从</w:t>
      </w:r>
      <w:r>
        <w:rPr>
          <w:rFonts w:hint="eastAsia" w:ascii="宋体" w:cs="宋体"/>
          <w:color w:val="000000"/>
          <w:kern w:val="0"/>
          <w:sz w:val="24"/>
        </w:rPr>
        <w:t>炉</w:t>
      </w:r>
      <w:r>
        <w:rPr>
          <w:rFonts w:ascii="宋体" w:cs="宋体"/>
          <w:color w:val="000000"/>
          <w:kern w:val="0"/>
          <w:sz w:val="24"/>
        </w:rPr>
        <w:t>内取出，置于干燥器内冷却</w:t>
      </w:r>
      <w:r>
        <w:rPr>
          <w:rFonts w:hint="eastAsia" w:ascii="宋体" w:cs="宋体"/>
          <w:color w:val="000000"/>
          <w:kern w:val="0"/>
          <w:sz w:val="24"/>
        </w:rPr>
        <w:t>、</w:t>
      </w:r>
      <w:r>
        <w:rPr>
          <w:rFonts w:ascii="宋体" w:cs="宋体"/>
          <w:color w:val="000000"/>
          <w:kern w:val="0"/>
          <w:sz w:val="24"/>
        </w:rPr>
        <w:t>称重。</w:t>
      </w:r>
      <w:r>
        <w:rPr>
          <w:rFonts w:hint="eastAsia" w:ascii="宋体" w:cs="宋体"/>
          <w:color w:val="000000"/>
          <w:kern w:val="0"/>
          <w:sz w:val="24"/>
        </w:rPr>
        <w:t>电炉</w:t>
      </w:r>
      <w:r>
        <w:rPr>
          <w:rFonts w:ascii="宋体" w:cs="宋体"/>
          <w:color w:val="000000"/>
          <w:kern w:val="0"/>
          <w:sz w:val="24"/>
        </w:rPr>
        <w:t>法</w:t>
      </w:r>
      <w:r>
        <w:rPr>
          <w:rFonts w:hint="eastAsia" w:ascii="宋体" w:cs="宋体"/>
          <w:color w:val="000000"/>
          <w:kern w:val="0"/>
          <w:sz w:val="24"/>
        </w:rPr>
        <w:t>源于原苏联，使用的国家很少，</w:t>
      </w:r>
      <w:r>
        <w:rPr>
          <w:rFonts w:ascii="宋体" w:cs="宋体"/>
          <w:color w:val="000000"/>
          <w:kern w:val="0"/>
          <w:sz w:val="24"/>
        </w:rPr>
        <w:t>原理是</w:t>
      </w:r>
      <w:r>
        <w:rPr>
          <w:rFonts w:hint="eastAsia" w:ascii="宋体" w:cs="宋体"/>
          <w:color w:val="000000"/>
          <w:kern w:val="0"/>
          <w:sz w:val="24"/>
        </w:rPr>
        <w:t>在</w:t>
      </w:r>
      <w:r>
        <w:rPr>
          <w:rFonts w:ascii="宋体" w:cs="宋体"/>
          <w:color w:val="000000"/>
          <w:kern w:val="0"/>
          <w:sz w:val="24"/>
        </w:rPr>
        <w:t>规定的</w:t>
      </w:r>
      <w:r>
        <w:rPr>
          <w:rFonts w:hint="eastAsia" w:ascii="宋体" w:cs="宋体"/>
          <w:color w:val="000000"/>
          <w:kern w:val="0"/>
          <w:sz w:val="24"/>
        </w:rPr>
        <w:t>试验</w:t>
      </w:r>
      <w:r>
        <w:rPr>
          <w:rFonts w:ascii="宋体" w:cs="宋体"/>
          <w:color w:val="000000"/>
          <w:kern w:val="0"/>
          <w:sz w:val="24"/>
        </w:rPr>
        <w:t>条件下，用电炉来加热蒸发润滑油、重质液</w:t>
      </w:r>
      <w:r>
        <w:rPr>
          <w:rFonts w:hint="eastAsia" w:ascii="宋体" w:cs="宋体"/>
          <w:color w:val="000000"/>
          <w:kern w:val="0"/>
          <w:sz w:val="24"/>
        </w:rPr>
        <w:t>体</w:t>
      </w:r>
      <w:r>
        <w:rPr>
          <w:rFonts w:ascii="宋体" w:cs="宋体"/>
          <w:color w:val="000000"/>
          <w:kern w:val="0"/>
          <w:sz w:val="24"/>
        </w:rPr>
        <w:t>或其它石油产品的试样，并测定燃烧后形成的焦黑色残留物（</w:t>
      </w:r>
      <w:r>
        <w:rPr>
          <w:rFonts w:hint="eastAsia" w:ascii="宋体" w:cs="宋体"/>
          <w:color w:val="000000"/>
          <w:kern w:val="0"/>
          <w:sz w:val="24"/>
        </w:rPr>
        <w:t>残炭</w:t>
      </w:r>
      <w:r>
        <w:rPr>
          <w:rFonts w:ascii="宋体" w:cs="宋体"/>
          <w:color w:val="000000"/>
          <w:kern w:val="0"/>
          <w:sz w:val="24"/>
        </w:rPr>
        <w:t>）</w:t>
      </w:r>
      <w:r>
        <w:rPr>
          <w:rFonts w:hint="eastAsia" w:ascii="宋体" w:cs="宋体"/>
          <w:color w:val="000000"/>
          <w:kern w:val="0"/>
          <w:sz w:val="24"/>
        </w:rPr>
        <w:t>的</w:t>
      </w:r>
      <w:r>
        <w:rPr>
          <w:rFonts w:ascii="宋体" w:cs="宋体"/>
          <w:color w:val="000000"/>
          <w:kern w:val="0"/>
          <w:sz w:val="24"/>
        </w:rPr>
        <w:t>质量百分数</w:t>
      </w:r>
      <w:r>
        <w:rPr>
          <w:rFonts w:hint="eastAsia" w:ascii="宋体" w:cs="宋体"/>
          <w:color w:val="000000"/>
          <w:kern w:val="0"/>
          <w:sz w:val="24"/>
        </w:rPr>
        <w:t>。四种</w:t>
      </w:r>
      <w:r>
        <w:rPr>
          <w:rFonts w:ascii="宋体" w:cs="宋体"/>
          <w:color w:val="000000"/>
          <w:kern w:val="0"/>
          <w:sz w:val="24"/>
        </w:rPr>
        <w:t>方法比较见表</w:t>
      </w:r>
      <w:r>
        <w:rPr>
          <w:rFonts w:hint="eastAsia" w:ascii="宋体" w:cs="宋体"/>
          <w:color w:val="000000"/>
          <w:kern w:val="0"/>
          <w:sz w:val="24"/>
        </w:rPr>
        <w:t>1。</w:t>
      </w:r>
    </w:p>
    <w:p w14:paraId="5EC71095">
      <w:pPr>
        <w:autoSpaceDE w:val="0"/>
        <w:autoSpaceDN w:val="0"/>
        <w:adjustRightInd w:val="0"/>
        <w:spacing w:line="360" w:lineRule="auto"/>
        <w:ind w:firstLine="460" w:firstLineChars="192"/>
        <w:rPr>
          <w:rFonts w:hint="eastAsia" w:ascii="宋体" w:hAnsi="宋体"/>
          <w:sz w:val="24"/>
        </w:rPr>
      </w:pPr>
      <w:r>
        <w:rPr>
          <w:rFonts w:hint="eastAsia" w:ascii="宋体" w:cs="宋体"/>
          <w:color w:val="000000"/>
          <w:kern w:val="0"/>
          <w:sz w:val="24"/>
        </w:rPr>
        <w:t>根据表1和</w:t>
      </w:r>
      <w:r>
        <w:rPr>
          <w:rFonts w:ascii="宋体" w:cs="宋体"/>
          <w:color w:val="000000"/>
          <w:kern w:val="0"/>
          <w:sz w:val="24"/>
        </w:rPr>
        <w:t>市场应用情况，</w:t>
      </w:r>
      <w:r>
        <w:rPr>
          <w:rFonts w:hint="eastAsia" w:ascii="宋体" w:cs="宋体"/>
          <w:color w:val="000000"/>
          <w:kern w:val="0"/>
          <w:sz w:val="24"/>
        </w:rPr>
        <w:t>微量法</w:t>
      </w:r>
      <w:r>
        <w:rPr>
          <w:rFonts w:ascii="宋体" w:cs="宋体"/>
          <w:color w:val="000000"/>
          <w:kern w:val="0"/>
          <w:sz w:val="24"/>
        </w:rPr>
        <w:t>残炭凭借其优点在</w:t>
      </w:r>
      <w:r>
        <w:rPr>
          <w:rFonts w:ascii="宋体" w:cs="宋体"/>
          <w:bCs/>
          <w:color w:val="000000"/>
          <w:kern w:val="0"/>
          <w:sz w:val="24"/>
        </w:rPr>
        <w:t>质量控制（常规分析）</w:t>
      </w:r>
      <w:r>
        <w:rPr>
          <w:rFonts w:hint="eastAsia" w:ascii="宋体" w:cs="宋体"/>
          <w:bCs/>
          <w:color w:val="000000"/>
          <w:kern w:val="0"/>
          <w:sz w:val="24"/>
        </w:rPr>
        <w:t>、</w:t>
      </w:r>
      <w:r>
        <w:rPr>
          <w:rFonts w:ascii="宋体" w:cs="宋体"/>
          <w:bCs/>
          <w:color w:val="000000"/>
          <w:kern w:val="0"/>
          <w:sz w:val="24"/>
        </w:rPr>
        <w:t>科研与工艺优化</w:t>
      </w:r>
      <w:r>
        <w:rPr>
          <w:rFonts w:hint="eastAsia" w:ascii="宋体" w:cs="宋体"/>
          <w:bCs/>
          <w:color w:val="000000"/>
          <w:kern w:val="0"/>
          <w:sz w:val="24"/>
        </w:rPr>
        <w:t>和</w:t>
      </w:r>
      <w:r>
        <w:rPr>
          <w:rFonts w:ascii="宋体" w:cs="宋体"/>
          <w:bCs/>
          <w:color w:val="000000"/>
          <w:kern w:val="0"/>
          <w:sz w:val="24"/>
        </w:rPr>
        <w:t>特定行业需求</w:t>
      </w:r>
      <w:r>
        <w:rPr>
          <w:rFonts w:hint="eastAsia" w:ascii="宋体" w:cs="宋体"/>
          <w:bCs/>
          <w:color w:val="000000"/>
          <w:kern w:val="0"/>
          <w:sz w:val="24"/>
        </w:rPr>
        <w:t>方面成为</w:t>
      </w:r>
      <w:r>
        <w:rPr>
          <w:rFonts w:ascii="宋体" w:cs="宋体"/>
          <w:bCs/>
          <w:color w:val="000000"/>
          <w:kern w:val="0"/>
          <w:sz w:val="24"/>
        </w:rPr>
        <w:t>主流</w:t>
      </w:r>
      <w:r>
        <w:rPr>
          <w:rFonts w:hint="eastAsia" w:ascii="宋体" w:cs="宋体"/>
          <w:bCs/>
          <w:color w:val="000000"/>
          <w:kern w:val="0"/>
          <w:sz w:val="24"/>
        </w:rPr>
        <w:t>方法，</w:t>
      </w:r>
      <w:r>
        <w:rPr>
          <w:rFonts w:ascii="宋体" w:cs="宋体"/>
          <w:bCs/>
          <w:color w:val="000000"/>
          <w:kern w:val="0"/>
          <w:sz w:val="24"/>
        </w:rPr>
        <w:t>康氏法为传统重质油的标准方法</w:t>
      </w:r>
      <w:r>
        <w:rPr>
          <w:rFonts w:hint="eastAsia" w:ascii="宋体" w:cs="宋体"/>
          <w:bCs/>
          <w:color w:val="000000"/>
          <w:kern w:val="0"/>
          <w:sz w:val="24"/>
        </w:rPr>
        <w:t>，对于燃料油、原油及大部分渣油，两者数据偏差在重复性允差范围内（如燃料油偏差</w:t>
      </w:r>
      <w:r>
        <w:rPr>
          <w:bCs/>
          <w:color w:val="000000"/>
          <w:kern w:val="0"/>
          <w:sz w:val="24"/>
        </w:rPr>
        <w:t>0.8%~1.0%</w:t>
      </w:r>
      <w:r>
        <w:rPr>
          <w:rFonts w:hint="eastAsia"/>
          <w:bCs/>
          <w:color w:val="000000"/>
          <w:kern w:val="0"/>
          <w:sz w:val="24"/>
        </w:rPr>
        <w:t>，康氏法残炭值略高于微量法，但线性相关性较好（R²=0.9925），在0.10%~</w:t>
      </w:r>
      <w:r>
        <w:rPr>
          <w:bCs/>
          <w:color w:val="000000"/>
          <w:kern w:val="0"/>
          <w:sz w:val="24"/>
        </w:rPr>
        <w:t>25.0%</w:t>
      </w:r>
      <w:r>
        <w:rPr>
          <w:rFonts w:hint="eastAsia"/>
          <w:bCs/>
          <w:color w:val="000000"/>
          <w:kern w:val="0"/>
          <w:sz w:val="24"/>
        </w:rPr>
        <w:t>（质量</w:t>
      </w:r>
      <w:r>
        <w:rPr>
          <w:bCs/>
          <w:color w:val="000000"/>
          <w:kern w:val="0"/>
          <w:sz w:val="24"/>
        </w:rPr>
        <w:t>分数</w:t>
      </w:r>
      <w:r>
        <w:rPr>
          <w:rFonts w:hint="eastAsia"/>
          <w:bCs/>
          <w:color w:val="000000"/>
          <w:kern w:val="0"/>
          <w:sz w:val="24"/>
        </w:rPr>
        <w:t>）范围内在</w:t>
      </w:r>
      <w:r>
        <w:rPr>
          <w:bCs/>
          <w:color w:val="000000"/>
          <w:kern w:val="0"/>
          <w:sz w:val="24"/>
        </w:rPr>
        <w:t>统计意义上没有</w:t>
      </w:r>
      <w:r>
        <w:rPr>
          <w:rFonts w:hint="eastAsia"/>
          <w:bCs/>
          <w:color w:val="000000"/>
          <w:kern w:val="0"/>
          <w:sz w:val="24"/>
        </w:rPr>
        <w:t>显著</w:t>
      </w:r>
      <w:r>
        <w:rPr>
          <w:bCs/>
          <w:color w:val="000000"/>
          <w:kern w:val="0"/>
          <w:sz w:val="24"/>
        </w:rPr>
        <w:t>的差别</w:t>
      </w:r>
      <w:r>
        <w:rPr>
          <w:rFonts w:hint="eastAsia"/>
          <w:bCs/>
          <w:color w:val="000000"/>
          <w:kern w:val="0"/>
          <w:sz w:val="24"/>
        </w:rPr>
        <w:t>，</w:t>
      </w:r>
      <w:r>
        <w:rPr>
          <w:bCs/>
          <w:color w:val="000000"/>
          <w:kern w:val="0"/>
          <w:sz w:val="24"/>
        </w:rPr>
        <w:t>但微量法精密度更好</w:t>
      </w:r>
      <w:r>
        <w:rPr>
          <w:rFonts w:hint="eastAsia"/>
          <w:bCs/>
          <w:color w:val="000000"/>
          <w:kern w:val="0"/>
          <w:sz w:val="24"/>
        </w:rPr>
        <w:t>；微量法</w:t>
      </w:r>
      <w:r>
        <w:rPr>
          <w:bCs/>
          <w:color w:val="000000"/>
          <w:kern w:val="0"/>
          <w:sz w:val="24"/>
        </w:rPr>
        <w:t>与电</w:t>
      </w:r>
      <w:r>
        <w:rPr>
          <w:rFonts w:hint="eastAsia"/>
          <w:bCs/>
          <w:color w:val="000000"/>
          <w:kern w:val="0"/>
          <w:sz w:val="24"/>
        </w:rPr>
        <w:t>炉</w:t>
      </w:r>
      <w:r>
        <w:rPr>
          <w:bCs/>
          <w:color w:val="000000"/>
          <w:kern w:val="0"/>
          <w:sz w:val="24"/>
        </w:rPr>
        <w:t>法</w:t>
      </w:r>
      <w:r>
        <w:rPr>
          <w:rFonts w:hint="eastAsia"/>
          <w:bCs/>
          <w:color w:val="000000"/>
          <w:kern w:val="0"/>
          <w:sz w:val="24"/>
        </w:rPr>
        <w:t>比较，轻质油和原油数据近似性好（偏差1.0%~2.1%），但渣油、悬浮床加氢尾油等差异显著（偏差最高达12.2%），电炉法残炭值普遍高于微量法，可能与加热方式（明火点燃）有关；兰氏法与康氏法的数据存在近似关系，但未被广泛采用，具体差异未明确说明，</w:t>
      </w:r>
      <w:r>
        <w:rPr>
          <w:bCs/>
          <w:color w:val="000000"/>
          <w:kern w:val="0"/>
          <w:sz w:val="24"/>
        </w:rPr>
        <w:t>同时</w:t>
      </w:r>
      <w:r>
        <w:rPr>
          <w:rFonts w:hint="eastAsia"/>
          <w:bCs/>
          <w:color w:val="000000"/>
          <w:kern w:val="0"/>
          <w:sz w:val="24"/>
        </w:rPr>
        <w:t>兰氏法因数据近似性和操作复杂性，应用场景有限。</w:t>
      </w:r>
      <w:r>
        <w:rPr>
          <w:rFonts w:hint="eastAsia" w:ascii="宋体" w:hAnsi="宋体"/>
          <w:sz w:val="24"/>
        </w:rPr>
        <w:t>微量法</w:t>
      </w:r>
      <w:r>
        <w:rPr>
          <w:rFonts w:ascii="宋体" w:hAnsi="宋体"/>
          <w:sz w:val="24"/>
        </w:rPr>
        <w:t>残炭的</w:t>
      </w:r>
      <w:r>
        <w:rPr>
          <w:rFonts w:hint="eastAsia" w:ascii="宋体" w:hAnsi="宋体"/>
          <w:sz w:val="24"/>
        </w:rPr>
        <w:t>国家标准</w:t>
      </w:r>
      <w:r>
        <w:rPr>
          <w:rFonts w:ascii="宋体" w:hAnsi="宋体"/>
          <w:sz w:val="24"/>
        </w:rPr>
        <w:t>在</w:t>
      </w:r>
      <w:r>
        <w:rPr>
          <w:rFonts w:hint="eastAsia" w:ascii="宋体" w:hAnsi="宋体"/>
          <w:sz w:val="24"/>
        </w:rPr>
        <w:t>2021年</w:t>
      </w:r>
      <w:r>
        <w:rPr>
          <w:rFonts w:ascii="宋体" w:hAnsi="宋体"/>
          <w:sz w:val="24"/>
        </w:rPr>
        <w:t>重新进行了修订，而其他三种方法的</w:t>
      </w:r>
      <w:r>
        <w:rPr>
          <w:rFonts w:hint="eastAsia" w:ascii="宋体" w:hAnsi="宋体"/>
          <w:sz w:val="24"/>
        </w:rPr>
        <w:t>现行</w:t>
      </w:r>
      <w:r>
        <w:rPr>
          <w:rFonts w:ascii="宋体" w:hAnsi="宋体"/>
          <w:sz w:val="24"/>
        </w:rPr>
        <w:t>版本已经距今</w:t>
      </w:r>
      <w:r>
        <w:rPr>
          <w:rFonts w:hint="eastAsia" w:ascii="宋体" w:hAnsi="宋体"/>
          <w:sz w:val="24"/>
        </w:rPr>
        <w:t>30年</w:t>
      </w:r>
      <w:r>
        <w:rPr>
          <w:rFonts w:ascii="宋体" w:hAnsi="宋体"/>
          <w:sz w:val="24"/>
        </w:rPr>
        <w:t>有余，</w:t>
      </w:r>
      <w:r>
        <w:rPr>
          <w:rFonts w:hint="eastAsia" w:ascii="宋体" w:hAnsi="宋体"/>
          <w:sz w:val="24"/>
        </w:rPr>
        <w:t>微量法</w:t>
      </w:r>
      <w:r>
        <w:rPr>
          <w:rFonts w:ascii="宋体" w:hAnsi="宋体"/>
          <w:sz w:val="24"/>
        </w:rPr>
        <w:t>残炭的应用更普遍，使用领域更</w:t>
      </w:r>
      <w:r>
        <w:rPr>
          <w:rFonts w:hint="eastAsia" w:ascii="宋体" w:hAnsi="宋体"/>
          <w:sz w:val="24"/>
        </w:rPr>
        <w:t>广泛，因此</w:t>
      </w:r>
      <w:r>
        <w:rPr>
          <w:rFonts w:ascii="宋体" w:hAnsi="宋体"/>
          <w:sz w:val="24"/>
        </w:rPr>
        <w:t>本规范</w:t>
      </w:r>
      <w:r>
        <w:rPr>
          <w:rFonts w:hint="eastAsia" w:ascii="宋体" w:hAnsi="宋体"/>
          <w:sz w:val="24"/>
        </w:rPr>
        <w:t>选择</w:t>
      </w:r>
      <w:r>
        <w:rPr>
          <w:rFonts w:ascii="宋体" w:hAnsi="宋体"/>
          <w:sz w:val="24"/>
        </w:rPr>
        <w:t>微量法残炭</w:t>
      </w:r>
      <w:r>
        <w:rPr>
          <w:rFonts w:hint="eastAsia" w:ascii="宋体" w:hAnsi="宋体"/>
          <w:sz w:val="24"/>
        </w:rPr>
        <w:t>作为</w:t>
      </w:r>
      <w:r>
        <w:rPr>
          <w:rFonts w:ascii="宋体" w:hAnsi="宋体"/>
          <w:sz w:val="24"/>
        </w:rPr>
        <w:t>国家规范的</w:t>
      </w:r>
      <w:r>
        <w:rPr>
          <w:rFonts w:hint="eastAsia" w:ascii="宋体" w:hAnsi="宋体"/>
          <w:sz w:val="24"/>
        </w:rPr>
        <w:t>研究</w:t>
      </w:r>
      <w:r>
        <w:rPr>
          <w:rFonts w:ascii="宋体" w:hAnsi="宋体"/>
          <w:sz w:val="24"/>
        </w:rPr>
        <w:t>对象。</w:t>
      </w:r>
    </w:p>
    <w:p w14:paraId="140100D6">
      <w:pPr>
        <w:autoSpaceDE w:val="0"/>
        <w:autoSpaceDN w:val="0"/>
        <w:adjustRightInd w:val="0"/>
        <w:spacing w:line="500" w:lineRule="exact"/>
        <w:ind w:firstLine="460" w:firstLineChars="192"/>
        <w:jc w:val="center"/>
        <w:rPr>
          <w:rFonts w:hint="eastAsia" w:ascii="宋体" w:cs="宋体"/>
          <w:color w:val="000000"/>
          <w:kern w:val="0"/>
          <w:sz w:val="24"/>
        </w:rPr>
      </w:pPr>
      <w:r>
        <w:rPr>
          <w:rFonts w:hint="eastAsia" w:ascii="宋体" w:cs="宋体"/>
          <w:color w:val="000000"/>
          <w:kern w:val="0"/>
          <w:sz w:val="24"/>
        </w:rPr>
        <w:t>表1 我国主要</w:t>
      </w:r>
      <w:r>
        <w:rPr>
          <w:rFonts w:ascii="宋体" w:cs="宋体"/>
          <w:color w:val="000000"/>
          <w:kern w:val="0"/>
          <w:sz w:val="24"/>
        </w:rPr>
        <w:t>残炭测定法</w:t>
      </w:r>
      <w:r>
        <w:rPr>
          <w:rFonts w:hint="eastAsia" w:ascii="宋体" w:cs="宋体"/>
          <w:color w:val="000000"/>
          <w:kern w:val="0"/>
          <w:sz w:val="24"/>
        </w:rPr>
        <w:t>比较</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7"/>
        <w:gridCol w:w="1839"/>
        <w:gridCol w:w="1638"/>
        <w:gridCol w:w="2078"/>
        <w:gridCol w:w="1640"/>
      </w:tblGrid>
      <w:tr w14:paraId="19F7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7" w:type="dxa"/>
            <w:noWrap w:val="0"/>
            <w:vAlign w:val="top"/>
          </w:tcPr>
          <w:p w14:paraId="34A21905">
            <w:pPr>
              <w:autoSpaceDE w:val="0"/>
              <w:autoSpaceDN w:val="0"/>
              <w:adjustRightInd w:val="0"/>
              <w:spacing w:line="500" w:lineRule="exact"/>
              <w:jc w:val="center"/>
              <w:rPr>
                <w:color w:val="000000"/>
                <w:kern w:val="0"/>
                <w:sz w:val="20"/>
              </w:rPr>
            </w:pPr>
            <w:r>
              <w:rPr>
                <w:color w:val="000000"/>
                <w:kern w:val="0"/>
                <w:sz w:val="20"/>
              </w:rPr>
              <w:t>方法</w:t>
            </w:r>
          </w:p>
        </w:tc>
        <w:tc>
          <w:tcPr>
            <w:tcW w:w="1725" w:type="dxa"/>
            <w:noWrap w:val="0"/>
            <w:vAlign w:val="top"/>
          </w:tcPr>
          <w:p w14:paraId="6D854032">
            <w:pPr>
              <w:autoSpaceDE w:val="0"/>
              <w:autoSpaceDN w:val="0"/>
              <w:adjustRightInd w:val="0"/>
              <w:spacing w:line="500" w:lineRule="exact"/>
              <w:jc w:val="center"/>
              <w:rPr>
                <w:color w:val="000000"/>
                <w:kern w:val="0"/>
                <w:sz w:val="20"/>
              </w:rPr>
            </w:pPr>
            <w:r>
              <w:rPr>
                <w:color w:val="000000"/>
                <w:kern w:val="0"/>
                <w:sz w:val="20"/>
              </w:rPr>
              <w:t>微量法</w:t>
            </w:r>
          </w:p>
        </w:tc>
        <w:tc>
          <w:tcPr>
            <w:tcW w:w="1679" w:type="dxa"/>
            <w:noWrap w:val="0"/>
            <w:vAlign w:val="top"/>
          </w:tcPr>
          <w:p w14:paraId="1CD63855">
            <w:pPr>
              <w:autoSpaceDE w:val="0"/>
              <w:autoSpaceDN w:val="0"/>
              <w:adjustRightInd w:val="0"/>
              <w:spacing w:line="500" w:lineRule="exact"/>
              <w:jc w:val="center"/>
              <w:rPr>
                <w:color w:val="000000"/>
                <w:kern w:val="0"/>
                <w:sz w:val="20"/>
              </w:rPr>
            </w:pPr>
            <w:r>
              <w:rPr>
                <w:color w:val="000000"/>
                <w:kern w:val="0"/>
                <w:sz w:val="20"/>
              </w:rPr>
              <w:t>康氏法</w:t>
            </w:r>
          </w:p>
        </w:tc>
        <w:tc>
          <w:tcPr>
            <w:tcW w:w="2193" w:type="dxa"/>
            <w:noWrap w:val="0"/>
            <w:vAlign w:val="top"/>
          </w:tcPr>
          <w:p w14:paraId="5DECC586">
            <w:pPr>
              <w:autoSpaceDE w:val="0"/>
              <w:autoSpaceDN w:val="0"/>
              <w:adjustRightInd w:val="0"/>
              <w:spacing w:line="500" w:lineRule="exact"/>
              <w:jc w:val="center"/>
              <w:rPr>
                <w:color w:val="000000"/>
                <w:kern w:val="0"/>
                <w:sz w:val="20"/>
              </w:rPr>
            </w:pPr>
            <w:r>
              <w:rPr>
                <w:color w:val="000000"/>
                <w:kern w:val="0"/>
                <w:sz w:val="20"/>
              </w:rPr>
              <w:t>兰氏法</w:t>
            </w:r>
          </w:p>
        </w:tc>
        <w:tc>
          <w:tcPr>
            <w:tcW w:w="1666" w:type="dxa"/>
            <w:noWrap w:val="0"/>
            <w:vAlign w:val="top"/>
          </w:tcPr>
          <w:p w14:paraId="2152F81C">
            <w:pPr>
              <w:autoSpaceDE w:val="0"/>
              <w:autoSpaceDN w:val="0"/>
              <w:adjustRightInd w:val="0"/>
              <w:spacing w:line="500" w:lineRule="exact"/>
              <w:jc w:val="center"/>
              <w:rPr>
                <w:color w:val="000000"/>
                <w:kern w:val="0"/>
                <w:sz w:val="20"/>
              </w:rPr>
            </w:pPr>
            <w:r>
              <w:rPr>
                <w:color w:val="000000"/>
                <w:kern w:val="0"/>
                <w:sz w:val="20"/>
              </w:rPr>
              <w:t>电炉法</w:t>
            </w:r>
          </w:p>
        </w:tc>
      </w:tr>
      <w:tr w14:paraId="627FA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7" w:type="dxa"/>
            <w:noWrap w:val="0"/>
            <w:vAlign w:val="top"/>
          </w:tcPr>
          <w:p w14:paraId="16FF368F">
            <w:pPr>
              <w:autoSpaceDE w:val="0"/>
              <w:autoSpaceDN w:val="0"/>
              <w:adjustRightInd w:val="0"/>
              <w:spacing w:line="500" w:lineRule="exact"/>
              <w:jc w:val="center"/>
              <w:rPr>
                <w:color w:val="000000"/>
                <w:kern w:val="0"/>
                <w:sz w:val="20"/>
              </w:rPr>
            </w:pPr>
            <w:r>
              <w:rPr>
                <w:bCs/>
                <w:color w:val="000000"/>
                <w:kern w:val="0"/>
                <w:sz w:val="20"/>
              </w:rPr>
              <w:t>标准</w:t>
            </w:r>
          </w:p>
        </w:tc>
        <w:tc>
          <w:tcPr>
            <w:tcW w:w="1725" w:type="dxa"/>
            <w:noWrap w:val="0"/>
            <w:vAlign w:val="top"/>
          </w:tcPr>
          <w:p w14:paraId="639DEFCA">
            <w:pPr>
              <w:autoSpaceDE w:val="0"/>
              <w:autoSpaceDN w:val="0"/>
              <w:adjustRightInd w:val="0"/>
              <w:jc w:val="center"/>
              <w:rPr>
                <w:rFonts w:hint="eastAsia"/>
                <w:color w:val="000000"/>
                <w:kern w:val="0"/>
                <w:sz w:val="20"/>
              </w:rPr>
            </w:pPr>
            <w:r>
              <w:rPr>
                <w:color w:val="000000"/>
                <w:kern w:val="0"/>
                <w:sz w:val="20"/>
              </w:rPr>
              <w:t>GB/T17144-2021</w:t>
            </w:r>
            <w:r>
              <w:rPr>
                <w:rFonts w:hint="eastAsia"/>
                <w:color w:val="000000"/>
                <w:kern w:val="0"/>
                <w:sz w:val="20"/>
              </w:rPr>
              <w:t>、</w:t>
            </w:r>
          </w:p>
          <w:p w14:paraId="502D2741">
            <w:pPr>
              <w:autoSpaceDE w:val="0"/>
              <w:autoSpaceDN w:val="0"/>
              <w:adjustRightInd w:val="0"/>
              <w:jc w:val="center"/>
              <w:rPr>
                <w:color w:val="000000"/>
                <w:kern w:val="0"/>
                <w:sz w:val="20"/>
              </w:rPr>
            </w:pPr>
            <w:r>
              <w:rPr>
                <w:color w:val="000000"/>
                <w:kern w:val="0"/>
                <w:sz w:val="20"/>
              </w:rPr>
              <w:t>ASTM D4530</w:t>
            </w:r>
          </w:p>
        </w:tc>
        <w:tc>
          <w:tcPr>
            <w:tcW w:w="1679" w:type="dxa"/>
            <w:noWrap w:val="0"/>
            <w:vAlign w:val="top"/>
          </w:tcPr>
          <w:p w14:paraId="2120CC53">
            <w:pPr>
              <w:autoSpaceDE w:val="0"/>
              <w:autoSpaceDN w:val="0"/>
              <w:adjustRightInd w:val="0"/>
              <w:jc w:val="center"/>
              <w:rPr>
                <w:rFonts w:hint="eastAsia"/>
                <w:color w:val="000000"/>
                <w:kern w:val="0"/>
                <w:sz w:val="20"/>
              </w:rPr>
            </w:pPr>
            <w:r>
              <w:rPr>
                <w:color w:val="000000"/>
                <w:kern w:val="0"/>
                <w:sz w:val="20"/>
              </w:rPr>
              <w:t>GB/T 268-1987</w:t>
            </w:r>
            <w:r>
              <w:rPr>
                <w:rFonts w:hint="eastAsia"/>
                <w:color w:val="000000"/>
                <w:kern w:val="0"/>
                <w:sz w:val="20"/>
              </w:rPr>
              <w:t>、</w:t>
            </w:r>
          </w:p>
          <w:p w14:paraId="228C79B3">
            <w:pPr>
              <w:autoSpaceDE w:val="0"/>
              <w:autoSpaceDN w:val="0"/>
              <w:adjustRightInd w:val="0"/>
              <w:jc w:val="center"/>
              <w:rPr>
                <w:color w:val="000000"/>
                <w:kern w:val="0"/>
                <w:sz w:val="20"/>
              </w:rPr>
            </w:pPr>
            <w:r>
              <w:rPr>
                <w:color w:val="000000"/>
                <w:kern w:val="0"/>
                <w:sz w:val="20"/>
              </w:rPr>
              <w:t>ASTM D189</w:t>
            </w:r>
          </w:p>
        </w:tc>
        <w:tc>
          <w:tcPr>
            <w:tcW w:w="2193" w:type="dxa"/>
            <w:noWrap w:val="0"/>
            <w:vAlign w:val="top"/>
          </w:tcPr>
          <w:p w14:paraId="70274B58">
            <w:pPr>
              <w:autoSpaceDE w:val="0"/>
              <w:autoSpaceDN w:val="0"/>
              <w:adjustRightInd w:val="0"/>
              <w:jc w:val="center"/>
              <w:rPr>
                <w:rFonts w:hint="eastAsia"/>
                <w:color w:val="000000"/>
                <w:kern w:val="0"/>
                <w:sz w:val="20"/>
              </w:rPr>
            </w:pPr>
            <w:r>
              <w:rPr>
                <w:color w:val="000000"/>
                <w:kern w:val="0"/>
                <w:sz w:val="20"/>
              </w:rPr>
              <w:t>SH/T 0160-1992</w:t>
            </w:r>
            <w:r>
              <w:rPr>
                <w:rFonts w:hint="eastAsia"/>
                <w:color w:val="000000"/>
                <w:kern w:val="0"/>
                <w:sz w:val="20"/>
              </w:rPr>
              <w:t>、</w:t>
            </w:r>
            <w:r>
              <w:rPr>
                <w:color w:val="000000"/>
                <w:kern w:val="0"/>
                <w:sz w:val="20"/>
              </w:rPr>
              <w:t>ISO 4262</w:t>
            </w:r>
            <w:r>
              <w:rPr>
                <w:rFonts w:hint="eastAsia"/>
                <w:color w:val="000000"/>
                <w:kern w:val="0"/>
                <w:sz w:val="20"/>
              </w:rPr>
              <w:t>、</w:t>
            </w:r>
            <w:r>
              <w:rPr>
                <w:color w:val="000000"/>
                <w:kern w:val="0"/>
                <w:sz w:val="20"/>
              </w:rPr>
              <w:t>ASTM D524</w:t>
            </w:r>
          </w:p>
        </w:tc>
        <w:tc>
          <w:tcPr>
            <w:tcW w:w="1666" w:type="dxa"/>
            <w:noWrap w:val="0"/>
            <w:vAlign w:val="top"/>
          </w:tcPr>
          <w:p w14:paraId="017E2437">
            <w:pPr>
              <w:autoSpaceDE w:val="0"/>
              <w:autoSpaceDN w:val="0"/>
              <w:adjustRightInd w:val="0"/>
              <w:jc w:val="center"/>
              <w:rPr>
                <w:color w:val="000000"/>
                <w:kern w:val="0"/>
                <w:sz w:val="20"/>
              </w:rPr>
            </w:pPr>
            <w:r>
              <w:rPr>
                <w:color w:val="000000"/>
                <w:kern w:val="0"/>
                <w:sz w:val="20"/>
              </w:rPr>
              <w:t>SH/T 0170-1992</w:t>
            </w:r>
          </w:p>
        </w:tc>
      </w:tr>
      <w:tr w14:paraId="29ED9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7" w:type="dxa"/>
            <w:noWrap w:val="0"/>
            <w:vAlign w:val="top"/>
          </w:tcPr>
          <w:p w14:paraId="679D89E3">
            <w:pPr>
              <w:widowControl/>
              <w:jc w:val="center"/>
              <w:rPr>
                <w:color w:val="000000"/>
                <w:kern w:val="0"/>
                <w:sz w:val="20"/>
              </w:rPr>
            </w:pPr>
            <w:r>
              <w:rPr>
                <w:bCs/>
                <w:color w:val="000000"/>
                <w:kern w:val="0"/>
                <w:sz w:val="20"/>
              </w:rPr>
              <w:t>原理</w:t>
            </w:r>
          </w:p>
        </w:tc>
        <w:tc>
          <w:tcPr>
            <w:tcW w:w="1725" w:type="dxa"/>
            <w:noWrap w:val="0"/>
            <w:vAlign w:val="top"/>
          </w:tcPr>
          <w:p w14:paraId="7CF6BC0D">
            <w:pPr>
              <w:autoSpaceDE w:val="0"/>
              <w:autoSpaceDN w:val="0"/>
              <w:adjustRightInd w:val="0"/>
              <w:jc w:val="center"/>
              <w:rPr>
                <w:color w:val="000000"/>
                <w:kern w:val="0"/>
                <w:sz w:val="20"/>
              </w:rPr>
            </w:pPr>
            <w:r>
              <w:rPr>
                <w:color w:val="000000"/>
                <w:kern w:val="0"/>
                <w:sz w:val="20"/>
              </w:rPr>
              <w:t>样品在氮气保护下程序升温（500</w:t>
            </w:r>
            <w:r>
              <w:rPr>
                <w:rFonts w:hint="eastAsia" w:ascii="宋体" w:hAnsi="宋体" w:cs="宋体"/>
                <w:color w:val="000000"/>
                <w:kern w:val="0"/>
                <w:sz w:val="20"/>
              </w:rPr>
              <w:t>℃</w:t>
            </w:r>
            <w:r>
              <w:rPr>
                <w:color w:val="000000"/>
                <w:kern w:val="0"/>
                <w:sz w:val="20"/>
              </w:rPr>
              <w:t>）热裂解，形成残炭后冷却称量</w:t>
            </w:r>
          </w:p>
        </w:tc>
        <w:tc>
          <w:tcPr>
            <w:tcW w:w="1679" w:type="dxa"/>
            <w:noWrap w:val="0"/>
            <w:vAlign w:val="top"/>
          </w:tcPr>
          <w:p w14:paraId="603147FD">
            <w:pPr>
              <w:autoSpaceDE w:val="0"/>
              <w:autoSpaceDN w:val="0"/>
              <w:adjustRightInd w:val="0"/>
              <w:jc w:val="center"/>
              <w:rPr>
                <w:color w:val="000000"/>
                <w:kern w:val="0"/>
                <w:sz w:val="20"/>
              </w:rPr>
            </w:pPr>
            <w:r>
              <w:rPr>
                <w:color w:val="000000"/>
                <w:kern w:val="0"/>
                <w:sz w:val="20"/>
              </w:rPr>
              <w:t>样品在瓷坩埚中通过煤气喷灯直接加热燃烧，高温（约700</w:t>
            </w:r>
            <w:r>
              <w:rPr>
                <w:rFonts w:hint="eastAsia" w:ascii="宋体" w:hAnsi="宋体" w:cs="宋体"/>
                <w:color w:val="000000"/>
                <w:kern w:val="0"/>
                <w:sz w:val="20"/>
              </w:rPr>
              <w:t>℃</w:t>
            </w:r>
            <w:r>
              <w:rPr>
                <w:color w:val="000000"/>
                <w:kern w:val="0"/>
                <w:sz w:val="20"/>
              </w:rPr>
              <w:t>）下形成残炭</w:t>
            </w:r>
          </w:p>
        </w:tc>
        <w:tc>
          <w:tcPr>
            <w:tcW w:w="2193" w:type="dxa"/>
            <w:noWrap w:val="0"/>
            <w:vAlign w:val="top"/>
          </w:tcPr>
          <w:p w14:paraId="1F9C0F22">
            <w:pPr>
              <w:autoSpaceDE w:val="0"/>
              <w:autoSpaceDN w:val="0"/>
              <w:adjustRightInd w:val="0"/>
              <w:jc w:val="center"/>
              <w:rPr>
                <w:color w:val="000000"/>
                <w:kern w:val="0"/>
                <w:sz w:val="20"/>
              </w:rPr>
            </w:pPr>
            <w:r>
              <w:rPr>
                <w:color w:val="000000"/>
                <w:kern w:val="0"/>
                <w:sz w:val="20"/>
              </w:rPr>
              <w:t>样品在氮气保护下加热至550</w:t>
            </w:r>
            <w:r>
              <w:rPr>
                <w:rFonts w:hint="eastAsia" w:ascii="宋体" w:hAnsi="宋体" w:cs="宋体"/>
                <w:color w:val="000000"/>
                <w:kern w:val="0"/>
                <w:sz w:val="20"/>
              </w:rPr>
              <w:t>℃</w:t>
            </w:r>
            <w:r>
              <w:rPr>
                <w:color w:val="000000"/>
                <w:kern w:val="0"/>
                <w:sz w:val="20"/>
              </w:rPr>
              <w:t>，通过裂解和氧化反应生成残炭</w:t>
            </w:r>
          </w:p>
        </w:tc>
        <w:tc>
          <w:tcPr>
            <w:tcW w:w="1666" w:type="dxa"/>
            <w:noWrap w:val="0"/>
            <w:vAlign w:val="top"/>
          </w:tcPr>
          <w:p w14:paraId="68CFFA6E">
            <w:pPr>
              <w:autoSpaceDE w:val="0"/>
              <w:autoSpaceDN w:val="0"/>
              <w:adjustRightInd w:val="0"/>
              <w:jc w:val="center"/>
              <w:rPr>
                <w:color w:val="000000"/>
                <w:kern w:val="0"/>
                <w:sz w:val="20"/>
              </w:rPr>
            </w:pPr>
            <w:r>
              <w:rPr>
                <w:color w:val="000000"/>
                <w:kern w:val="0"/>
                <w:sz w:val="20"/>
              </w:rPr>
              <w:t>样品在电炉中加热至520±5</w:t>
            </w:r>
            <w:r>
              <w:rPr>
                <w:rFonts w:hint="eastAsia" w:ascii="宋体" w:hAnsi="宋体" w:cs="宋体"/>
                <w:color w:val="000000"/>
                <w:kern w:val="0"/>
                <w:sz w:val="20"/>
              </w:rPr>
              <w:t>℃</w:t>
            </w:r>
            <w:r>
              <w:rPr>
                <w:color w:val="000000"/>
                <w:kern w:val="0"/>
                <w:sz w:val="20"/>
              </w:rPr>
              <w:t>，点燃油烟后煅烧，最终称量残炭</w:t>
            </w:r>
          </w:p>
        </w:tc>
      </w:tr>
      <w:tr w14:paraId="05B00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7" w:type="dxa"/>
            <w:noWrap w:val="0"/>
            <w:vAlign w:val="top"/>
          </w:tcPr>
          <w:p w14:paraId="797A6702">
            <w:pPr>
              <w:autoSpaceDE w:val="0"/>
              <w:autoSpaceDN w:val="0"/>
              <w:adjustRightInd w:val="0"/>
              <w:spacing w:line="500" w:lineRule="exact"/>
              <w:jc w:val="center"/>
              <w:rPr>
                <w:color w:val="000000"/>
                <w:kern w:val="0"/>
                <w:sz w:val="20"/>
              </w:rPr>
            </w:pPr>
            <w:r>
              <w:rPr>
                <w:rFonts w:hint="eastAsia"/>
                <w:color w:val="000000"/>
                <w:kern w:val="0"/>
                <w:sz w:val="20"/>
              </w:rPr>
              <w:t>测试条件</w:t>
            </w:r>
          </w:p>
        </w:tc>
        <w:tc>
          <w:tcPr>
            <w:tcW w:w="1725" w:type="dxa"/>
            <w:noWrap w:val="0"/>
            <w:vAlign w:val="top"/>
          </w:tcPr>
          <w:p w14:paraId="78C6F7CF">
            <w:pPr>
              <w:autoSpaceDE w:val="0"/>
              <w:autoSpaceDN w:val="0"/>
              <w:adjustRightInd w:val="0"/>
              <w:jc w:val="center"/>
              <w:rPr>
                <w:color w:val="000000"/>
                <w:kern w:val="0"/>
                <w:sz w:val="20"/>
              </w:rPr>
            </w:pPr>
            <w:r>
              <w:rPr>
                <w:color w:val="000000"/>
                <w:kern w:val="0"/>
                <w:sz w:val="20"/>
              </w:rPr>
              <w:t>电炉程序控温，分阶段升温（150~500</w:t>
            </w:r>
            <w:r>
              <w:rPr>
                <w:rFonts w:hint="eastAsia" w:ascii="宋体" w:hAnsi="宋体" w:cs="宋体"/>
                <w:color w:val="000000"/>
                <w:kern w:val="0"/>
                <w:sz w:val="20"/>
              </w:rPr>
              <w:t>℃</w:t>
            </w:r>
            <w:r>
              <w:rPr>
                <w:color w:val="000000"/>
                <w:kern w:val="0"/>
                <w:sz w:val="20"/>
              </w:rPr>
              <w:t>），全程惰性气体保护，自动化程度高</w:t>
            </w:r>
          </w:p>
        </w:tc>
        <w:tc>
          <w:tcPr>
            <w:tcW w:w="1679" w:type="dxa"/>
            <w:noWrap w:val="0"/>
            <w:vAlign w:val="top"/>
          </w:tcPr>
          <w:p w14:paraId="73C66A19">
            <w:pPr>
              <w:autoSpaceDE w:val="0"/>
              <w:autoSpaceDN w:val="0"/>
              <w:adjustRightInd w:val="0"/>
              <w:jc w:val="center"/>
              <w:rPr>
                <w:color w:val="000000"/>
                <w:kern w:val="0"/>
                <w:sz w:val="20"/>
              </w:rPr>
            </w:pPr>
            <w:r>
              <w:rPr>
                <w:color w:val="000000"/>
                <w:kern w:val="0"/>
                <w:sz w:val="20"/>
              </w:rPr>
              <w:t>分阶段加热（预点火、燃烧、强火煅烧），需手动调节火焰，明火操作</w:t>
            </w:r>
          </w:p>
        </w:tc>
        <w:tc>
          <w:tcPr>
            <w:tcW w:w="2193" w:type="dxa"/>
            <w:noWrap w:val="0"/>
            <w:vAlign w:val="top"/>
          </w:tcPr>
          <w:p w14:paraId="170ECEE1">
            <w:pPr>
              <w:autoSpaceDE w:val="0"/>
              <w:autoSpaceDN w:val="0"/>
              <w:adjustRightInd w:val="0"/>
              <w:jc w:val="center"/>
              <w:rPr>
                <w:color w:val="000000"/>
                <w:kern w:val="0"/>
                <w:sz w:val="20"/>
              </w:rPr>
            </w:pPr>
            <w:r>
              <w:rPr>
                <w:color w:val="000000"/>
                <w:kern w:val="0"/>
                <w:sz w:val="20"/>
              </w:rPr>
              <w:t>特定玻璃管中加热，需控制惰性气体流量，操作较复杂</w:t>
            </w:r>
          </w:p>
        </w:tc>
        <w:tc>
          <w:tcPr>
            <w:tcW w:w="1666" w:type="dxa"/>
            <w:noWrap w:val="0"/>
            <w:vAlign w:val="top"/>
          </w:tcPr>
          <w:p w14:paraId="68B95FDB">
            <w:pPr>
              <w:autoSpaceDE w:val="0"/>
              <w:autoSpaceDN w:val="0"/>
              <w:adjustRightInd w:val="0"/>
              <w:jc w:val="center"/>
              <w:rPr>
                <w:color w:val="000000"/>
                <w:kern w:val="0"/>
                <w:sz w:val="20"/>
              </w:rPr>
            </w:pPr>
            <w:r>
              <w:rPr>
                <w:color w:val="000000"/>
                <w:kern w:val="0"/>
                <w:sz w:val="20"/>
              </w:rPr>
              <w:t>电炉恒温加热，需手动点火，总加热时间30分钟</w:t>
            </w:r>
          </w:p>
        </w:tc>
      </w:tr>
      <w:tr w14:paraId="5B851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7" w:type="dxa"/>
            <w:noWrap w:val="0"/>
            <w:vAlign w:val="top"/>
          </w:tcPr>
          <w:p w14:paraId="3E82D424">
            <w:pPr>
              <w:autoSpaceDE w:val="0"/>
              <w:autoSpaceDN w:val="0"/>
              <w:adjustRightInd w:val="0"/>
              <w:spacing w:line="500" w:lineRule="exact"/>
              <w:jc w:val="center"/>
              <w:rPr>
                <w:color w:val="000000"/>
                <w:kern w:val="0"/>
                <w:sz w:val="20"/>
              </w:rPr>
            </w:pPr>
            <w:r>
              <w:rPr>
                <w:bCs/>
                <w:color w:val="000000"/>
                <w:kern w:val="0"/>
                <w:sz w:val="20"/>
              </w:rPr>
              <w:t>样品量</w:t>
            </w:r>
          </w:p>
        </w:tc>
        <w:tc>
          <w:tcPr>
            <w:tcW w:w="1725" w:type="dxa"/>
            <w:noWrap w:val="0"/>
            <w:vAlign w:val="top"/>
          </w:tcPr>
          <w:p w14:paraId="7922C317">
            <w:pPr>
              <w:autoSpaceDE w:val="0"/>
              <w:autoSpaceDN w:val="0"/>
              <w:adjustRightInd w:val="0"/>
              <w:jc w:val="center"/>
              <w:rPr>
                <w:color w:val="000000"/>
                <w:kern w:val="0"/>
                <w:sz w:val="20"/>
              </w:rPr>
            </w:pPr>
            <w:r>
              <w:rPr>
                <w:color w:val="000000"/>
                <w:kern w:val="0"/>
                <w:sz w:val="20"/>
              </w:rPr>
              <w:t>0.15g~5g</w:t>
            </w:r>
          </w:p>
        </w:tc>
        <w:tc>
          <w:tcPr>
            <w:tcW w:w="1679" w:type="dxa"/>
            <w:noWrap w:val="0"/>
            <w:vAlign w:val="top"/>
          </w:tcPr>
          <w:p w14:paraId="668B724F">
            <w:pPr>
              <w:autoSpaceDE w:val="0"/>
              <w:autoSpaceDN w:val="0"/>
              <w:adjustRightInd w:val="0"/>
              <w:jc w:val="center"/>
              <w:rPr>
                <w:color w:val="000000"/>
                <w:kern w:val="0"/>
                <w:sz w:val="20"/>
              </w:rPr>
            </w:pPr>
            <w:r>
              <w:rPr>
                <w:color w:val="000000"/>
                <w:kern w:val="0"/>
                <w:sz w:val="20"/>
              </w:rPr>
              <w:t>3g~10g</w:t>
            </w:r>
          </w:p>
        </w:tc>
        <w:tc>
          <w:tcPr>
            <w:tcW w:w="2193" w:type="dxa"/>
            <w:noWrap w:val="0"/>
            <w:vAlign w:val="top"/>
          </w:tcPr>
          <w:p w14:paraId="5E449272">
            <w:pPr>
              <w:autoSpaceDE w:val="0"/>
              <w:autoSpaceDN w:val="0"/>
              <w:adjustRightInd w:val="0"/>
              <w:jc w:val="center"/>
              <w:rPr>
                <w:color w:val="000000"/>
                <w:kern w:val="0"/>
                <w:sz w:val="20"/>
              </w:rPr>
            </w:pPr>
            <w:r>
              <w:rPr>
                <w:color w:val="000000"/>
                <w:kern w:val="0"/>
                <w:sz w:val="20"/>
              </w:rPr>
              <w:t>0.5g~4g</w:t>
            </w:r>
          </w:p>
        </w:tc>
        <w:tc>
          <w:tcPr>
            <w:tcW w:w="1666" w:type="dxa"/>
            <w:noWrap w:val="0"/>
            <w:vAlign w:val="top"/>
          </w:tcPr>
          <w:p w14:paraId="6E524507">
            <w:pPr>
              <w:autoSpaceDE w:val="0"/>
              <w:autoSpaceDN w:val="0"/>
              <w:adjustRightInd w:val="0"/>
              <w:jc w:val="center"/>
              <w:rPr>
                <w:color w:val="000000"/>
                <w:kern w:val="0"/>
                <w:sz w:val="20"/>
              </w:rPr>
            </w:pPr>
            <w:r>
              <w:rPr>
                <w:color w:val="000000"/>
                <w:kern w:val="0"/>
                <w:sz w:val="20"/>
              </w:rPr>
              <w:t>1g ~8g</w:t>
            </w:r>
          </w:p>
        </w:tc>
      </w:tr>
      <w:tr w14:paraId="5B1B2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7" w:type="dxa"/>
            <w:noWrap w:val="0"/>
            <w:vAlign w:val="top"/>
          </w:tcPr>
          <w:p w14:paraId="4B93579A">
            <w:pPr>
              <w:autoSpaceDE w:val="0"/>
              <w:autoSpaceDN w:val="0"/>
              <w:adjustRightInd w:val="0"/>
              <w:spacing w:line="500" w:lineRule="exact"/>
              <w:jc w:val="center"/>
              <w:rPr>
                <w:bCs/>
                <w:color w:val="000000"/>
                <w:kern w:val="0"/>
                <w:sz w:val="20"/>
              </w:rPr>
            </w:pPr>
            <w:r>
              <w:rPr>
                <w:bCs/>
                <w:color w:val="000000"/>
                <w:kern w:val="0"/>
                <w:sz w:val="20"/>
              </w:rPr>
              <w:t>测量范围</w:t>
            </w:r>
          </w:p>
        </w:tc>
        <w:tc>
          <w:tcPr>
            <w:tcW w:w="1725" w:type="dxa"/>
            <w:noWrap w:val="0"/>
            <w:vAlign w:val="top"/>
          </w:tcPr>
          <w:p w14:paraId="78EF43E9">
            <w:pPr>
              <w:autoSpaceDE w:val="0"/>
              <w:autoSpaceDN w:val="0"/>
              <w:adjustRightInd w:val="0"/>
              <w:jc w:val="center"/>
              <w:rPr>
                <w:color w:val="000000"/>
                <w:kern w:val="0"/>
                <w:sz w:val="20"/>
              </w:rPr>
            </w:pPr>
            <w:r>
              <w:rPr>
                <w:color w:val="000000"/>
                <w:kern w:val="0"/>
                <w:sz w:val="20"/>
              </w:rPr>
              <w:t>0.1%~30%</w:t>
            </w:r>
          </w:p>
        </w:tc>
        <w:tc>
          <w:tcPr>
            <w:tcW w:w="1679" w:type="dxa"/>
            <w:noWrap w:val="0"/>
            <w:vAlign w:val="top"/>
          </w:tcPr>
          <w:p w14:paraId="21DB1FEE">
            <w:pPr>
              <w:autoSpaceDE w:val="0"/>
              <w:autoSpaceDN w:val="0"/>
              <w:adjustRightInd w:val="0"/>
              <w:jc w:val="center"/>
              <w:rPr>
                <w:color w:val="000000"/>
                <w:kern w:val="0"/>
                <w:sz w:val="20"/>
              </w:rPr>
            </w:pPr>
            <w:r>
              <w:rPr>
                <w:color w:val="000000"/>
                <w:kern w:val="0"/>
                <w:sz w:val="20"/>
              </w:rPr>
              <w:t>未明确</w:t>
            </w:r>
          </w:p>
        </w:tc>
        <w:tc>
          <w:tcPr>
            <w:tcW w:w="2193" w:type="dxa"/>
            <w:noWrap w:val="0"/>
            <w:vAlign w:val="top"/>
          </w:tcPr>
          <w:p w14:paraId="5A836264">
            <w:pPr>
              <w:autoSpaceDE w:val="0"/>
              <w:autoSpaceDN w:val="0"/>
              <w:adjustRightInd w:val="0"/>
              <w:jc w:val="center"/>
              <w:rPr>
                <w:color w:val="000000"/>
                <w:kern w:val="0"/>
                <w:sz w:val="20"/>
              </w:rPr>
            </w:pPr>
            <w:r>
              <w:rPr>
                <w:color w:val="000000"/>
                <w:kern w:val="0"/>
                <w:sz w:val="20"/>
              </w:rPr>
              <w:t>小于20%</w:t>
            </w:r>
          </w:p>
        </w:tc>
        <w:tc>
          <w:tcPr>
            <w:tcW w:w="1666" w:type="dxa"/>
            <w:noWrap w:val="0"/>
            <w:vAlign w:val="top"/>
          </w:tcPr>
          <w:p w14:paraId="0969425E">
            <w:pPr>
              <w:autoSpaceDE w:val="0"/>
              <w:autoSpaceDN w:val="0"/>
              <w:adjustRightInd w:val="0"/>
              <w:jc w:val="center"/>
              <w:rPr>
                <w:color w:val="000000"/>
                <w:kern w:val="0"/>
                <w:sz w:val="20"/>
              </w:rPr>
            </w:pPr>
            <w:r>
              <w:rPr>
                <w:color w:val="000000"/>
                <w:kern w:val="0"/>
                <w:sz w:val="20"/>
              </w:rPr>
              <w:t>未明确</w:t>
            </w:r>
          </w:p>
        </w:tc>
      </w:tr>
      <w:tr w14:paraId="015F2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7" w:type="dxa"/>
            <w:noWrap w:val="0"/>
            <w:vAlign w:val="top"/>
          </w:tcPr>
          <w:p w14:paraId="0EA69224">
            <w:pPr>
              <w:autoSpaceDE w:val="0"/>
              <w:autoSpaceDN w:val="0"/>
              <w:adjustRightInd w:val="0"/>
              <w:spacing w:line="500" w:lineRule="exact"/>
              <w:jc w:val="center"/>
              <w:rPr>
                <w:color w:val="000000"/>
                <w:kern w:val="0"/>
                <w:sz w:val="20"/>
              </w:rPr>
            </w:pPr>
            <w:r>
              <w:rPr>
                <w:bCs/>
                <w:color w:val="000000"/>
                <w:kern w:val="0"/>
                <w:sz w:val="20"/>
              </w:rPr>
              <w:t>适用样品</w:t>
            </w:r>
          </w:p>
        </w:tc>
        <w:tc>
          <w:tcPr>
            <w:tcW w:w="1725" w:type="dxa"/>
            <w:noWrap w:val="0"/>
            <w:vAlign w:val="top"/>
          </w:tcPr>
          <w:p w14:paraId="7CC4D6D3">
            <w:pPr>
              <w:autoSpaceDE w:val="0"/>
              <w:autoSpaceDN w:val="0"/>
              <w:adjustRightInd w:val="0"/>
              <w:jc w:val="center"/>
              <w:rPr>
                <w:color w:val="000000"/>
                <w:kern w:val="0"/>
                <w:sz w:val="20"/>
              </w:rPr>
            </w:pPr>
            <w:r>
              <w:rPr>
                <w:color w:val="000000"/>
                <w:kern w:val="0"/>
                <w:sz w:val="20"/>
              </w:rPr>
              <w:t>轻质油（柴油、汽油）、重质油及原油</w:t>
            </w:r>
          </w:p>
        </w:tc>
        <w:tc>
          <w:tcPr>
            <w:tcW w:w="1679" w:type="dxa"/>
            <w:noWrap w:val="0"/>
            <w:vAlign w:val="top"/>
          </w:tcPr>
          <w:p w14:paraId="4B9BF1D6">
            <w:pPr>
              <w:autoSpaceDE w:val="0"/>
              <w:autoSpaceDN w:val="0"/>
              <w:adjustRightInd w:val="0"/>
              <w:jc w:val="center"/>
              <w:rPr>
                <w:color w:val="000000"/>
                <w:kern w:val="0"/>
                <w:sz w:val="20"/>
              </w:rPr>
            </w:pPr>
            <w:r>
              <w:rPr>
                <w:color w:val="000000"/>
                <w:kern w:val="0"/>
                <w:sz w:val="20"/>
              </w:rPr>
              <w:t>重质油（渣油、沥青、燃料油）</w:t>
            </w:r>
          </w:p>
        </w:tc>
        <w:tc>
          <w:tcPr>
            <w:tcW w:w="2193" w:type="dxa"/>
            <w:noWrap w:val="0"/>
            <w:vAlign w:val="top"/>
          </w:tcPr>
          <w:p w14:paraId="31C0B06C">
            <w:pPr>
              <w:autoSpaceDE w:val="0"/>
              <w:autoSpaceDN w:val="0"/>
              <w:adjustRightInd w:val="0"/>
              <w:jc w:val="center"/>
              <w:rPr>
                <w:color w:val="000000"/>
                <w:kern w:val="0"/>
                <w:sz w:val="20"/>
              </w:rPr>
            </w:pPr>
            <w:r>
              <w:rPr>
                <w:color w:val="000000"/>
                <w:kern w:val="0"/>
                <w:sz w:val="20"/>
              </w:rPr>
              <w:t>柴油、燃料油</w:t>
            </w:r>
          </w:p>
        </w:tc>
        <w:tc>
          <w:tcPr>
            <w:tcW w:w="1666" w:type="dxa"/>
            <w:noWrap w:val="0"/>
            <w:vAlign w:val="top"/>
          </w:tcPr>
          <w:p w14:paraId="467D6072">
            <w:pPr>
              <w:autoSpaceDE w:val="0"/>
              <w:autoSpaceDN w:val="0"/>
              <w:adjustRightInd w:val="0"/>
              <w:jc w:val="center"/>
              <w:rPr>
                <w:color w:val="000000"/>
                <w:kern w:val="0"/>
                <w:sz w:val="20"/>
              </w:rPr>
            </w:pPr>
            <w:r>
              <w:rPr>
                <w:color w:val="000000"/>
                <w:kern w:val="0"/>
                <w:sz w:val="20"/>
              </w:rPr>
              <w:t>渣油、超稠油等重质油</w:t>
            </w:r>
          </w:p>
        </w:tc>
      </w:tr>
      <w:tr w14:paraId="5BD35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7" w:type="dxa"/>
            <w:noWrap w:val="0"/>
            <w:vAlign w:val="top"/>
          </w:tcPr>
          <w:p w14:paraId="07E951C3">
            <w:pPr>
              <w:autoSpaceDE w:val="0"/>
              <w:autoSpaceDN w:val="0"/>
              <w:adjustRightInd w:val="0"/>
              <w:spacing w:line="500" w:lineRule="exact"/>
              <w:jc w:val="center"/>
              <w:rPr>
                <w:color w:val="000000"/>
                <w:kern w:val="0"/>
                <w:sz w:val="20"/>
              </w:rPr>
            </w:pPr>
            <w:r>
              <w:rPr>
                <w:bCs/>
                <w:color w:val="000000"/>
                <w:kern w:val="0"/>
                <w:sz w:val="20"/>
              </w:rPr>
              <w:t>数据特点</w:t>
            </w:r>
          </w:p>
        </w:tc>
        <w:tc>
          <w:tcPr>
            <w:tcW w:w="1725" w:type="dxa"/>
            <w:noWrap w:val="0"/>
            <w:vAlign w:val="top"/>
          </w:tcPr>
          <w:p w14:paraId="40B18ED4">
            <w:pPr>
              <w:autoSpaceDE w:val="0"/>
              <w:autoSpaceDN w:val="0"/>
              <w:adjustRightInd w:val="0"/>
              <w:jc w:val="center"/>
              <w:rPr>
                <w:color w:val="000000"/>
                <w:kern w:val="0"/>
                <w:sz w:val="20"/>
              </w:rPr>
            </w:pPr>
            <w:r>
              <w:rPr>
                <w:color w:val="000000"/>
                <w:kern w:val="0"/>
                <w:sz w:val="20"/>
              </w:rPr>
              <w:t>与康氏法数据等效（残炭&gt;0.01%时），自动化程度高，重复性误差较小</w:t>
            </w:r>
          </w:p>
        </w:tc>
        <w:tc>
          <w:tcPr>
            <w:tcW w:w="1679" w:type="dxa"/>
            <w:noWrap w:val="0"/>
            <w:vAlign w:val="top"/>
          </w:tcPr>
          <w:p w14:paraId="65D4CEC4">
            <w:pPr>
              <w:autoSpaceDE w:val="0"/>
              <w:autoSpaceDN w:val="0"/>
              <w:adjustRightInd w:val="0"/>
              <w:jc w:val="center"/>
              <w:rPr>
                <w:color w:val="000000"/>
                <w:kern w:val="0"/>
                <w:sz w:val="20"/>
              </w:rPr>
            </w:pPr>
            <w:r>
              <w:rPr>
                <w:color w:val="000000"/>
                <w:kern w:val="0"/>
                <w:sz w:val="20"/>
              </w:rPr>
              <w:t>结果受加热均匀性影响较大，重复性允差0.06%~1.66%（依样品类型）</w:t>
            </w:r>
          </w:p>
        </w:tc>
        <w:tc>
          <w:tcPr>
            <w:tcW w:w="2193" w:type="dxa"/>
            <w:noWrap w:val="0"/>
            <w:vAlign w:val="top"/>
          </w:tcPr>
          <w:p w14:paraId="6B488ACE">
            <w:pPr>
              <w:autoSpaceDE w:val="0"/>
              <w:autoSpaceDN w:val="0"/>
              <w:adjustRightInd w:val="0"/>
              <w:jc w:val="center"/>
              <w:rPr>
                <w:color w:val="000000"/>
                <w:kern w:val="0"/>
                <w:sz w:val="20"/>
              </w:rPr>
            </w:pPr>
            <w:r>
              <w:rPr>
                <w:color w:val="000000"/>
                <w:kern w:val="0"/>
                <w:sz w:val="20"/>
              </w:rPr>
              <w:t>数据与康氏法近似，但国际应用较少</w:t>
            </w:r>
          </w:p>
        </w:tc>
        <w:tc>
          <w:tcPr>
            <w:tcW w:w="1666" w:type="dxa"/>
            <w:noWrap w:val="0"/>
            <w:vAlign w:val="top"/>
          </w:tcPr>
          <w:p w14:paraId="0A08DFEA">
            <w:pPr>
              <w:autoSpaceDE w:val="0"/>
              <w:autoSpaceDN w:val="0"/>
              <w:adjustRightInd w:val="0"/>
              <w:jc w:val="center"/>
              <w:rPr>
                <w:color w:val="000000"/>
                <w:kern w:val="0"/>
                <w:sz w:val="20"/>
              </w:rPr>
            </w:pPr>
            <w:r>
              <w:rPr>
                <w:color w:val="000000"/>
                <w:kern w:val="0"/>
                <w:sz w:val="20"/>
              </w:rPr>
              <w:t>残炭值通常高于微量法，尤其在渣油中差异显著（偏差可达2.3%~12.2%）</w:t>
            </w:r>
          </w:p>
        </w:tc>
      </w:tr>
      <w:tr w14:paraId="04573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7" w:type="dxa"/>
            <w:noWrap w:val="0"/>
            <w:vAlign w:val="top"/>
          </w:tcPr>
          <w:p w14:paraId="4D09D6C3">
            <w:pPr>
              <w:autoSpaceDE w:val="0"/>
              <w:autoSpaceDN w:val="0"/>
              <w:adjustRightInd w:val="0"/>
              <w:spacing w:line="500" w:lineRule="exact"/>
              <w:jc w:val="center"/>
              <w:rPr>
                <w:color w:val="000000"/>
                <w:kern w:val="0"/>
                <w:sz w:val="22"/>
              </w:rPr>
            </w:pPr>
            <w:r>
              <w:rPr>
                <w:bCs/>
                <w:color w:val="000000"/>
                <w:kern w:val="0"/>
                <w:sz w:val="22"/>
              </w:rPr>
              <w:t>优缺点</w:t>
            </w:r>
          </w:p>
        </w:tc>
        <w:tc>
          <w:tcPr>
            <w:tcW w:w="1725" w:type="dxa"/>
            <w:noWrap w:val="0"/>
            <w:vAlign w:val="top"/>
          </w:tcPr>
          <w:p w14:paraId="34C19E3F">
            <w:pPr>
              <w:autoSpaceDE w:val="0"/>
              <w:autoSpaceDN w:val="0"/>
              <w:adjustRightInd w:val="0"/>
              <w:jc w:val="center"/>
              <w:rPr>
                <w:color w:val="000000"/>
                <w:kern w:val="0"/>
                <w:sz w:val="22"/>
              </w:rPr>
            </w:pPr>
            <w:r>
              <w:rPr>
                <w:bCs/>
                <w:color w:val="000000"/>
                <w:kern w:val="0"/>
                <w:sz w:val="22"/>
              </w:rPr>
              <w:t>优点</w:t>
            </w:r>
            <w:r>
              <w:rPr>
                <w:color w:val="000000"/>
                <w:kern w:val="0"/>
                <w:sz w:val="22"/>
              </w:rPr>
              <w:t>：样品量少、速度快；</w:t>
            </w:r>
          </w:p>
          <w:p w14:paraId="0A85F6B1">
            <w:pPr>
              <w:autoSpaceDE w:val="0"/>
              <w:autoSpaceDN w:val="0"/>
              <w:adjustRightInd w:val="0"/>
              <w:jc w:val="center"/>
              <w:rPr>
                <w:color w:val="000000"/>
                <w:kern w:val="0"/>
                <w:sz w:val="22"/>
              </w:rPr>
            </w:pPr>
            <w:r>
              <w:rPr>
                <w:bCs/>
                <w:color w:val="000000"/>
                <w:kern w:val="0"/>
                <w:sz w:val="22"/>
              </w:rPr>
              <w:t>缺点</w:t>
            </w:r>
            <w:r>
              <w:rPr>
                <w:color w:val="000000"/>
                <w:kern w:val="0"/>
                <w:sz w:val="22"/>
              </w:rPr>
              <w:t>：对低残炭样品（&lt;0.1%）灵敏度有限</w:t>
            </w:r>
          </w:p>
        </w:tc>
        <w:tc>
          <w:tcPr>
            <w:tcW w:w="1679" w:type="dxa"/>
            <w:noWrap w:val="0"/>
            <w:vAlign w:val="top"/>
          </w:tcPr>
          <w:p w14:paraId="1DD4FB80">
            <w:pPr>
              <w:autoSpaceDE w:val="0"/>
              <w:autoSpaceDN w:val="0"/>
              <w:adjustRightInd w:val="0"/>
              <w:jc w:val="center"/>
              <w:rPr>
                <w:color w:val="000000"/>
                <w:kern w:val="0"/>
                <w:sz w:val="22"/>
              </w:rPr>
            </w:pPr>
            <w:r>
              <w:rPr>
                <w:bCs/>
                <w:color w:val="000000"/>
                <w:kern w:val="0"/>
                <w:sz w:val="22"/>
              </w:rPr>
              <w:t>优点</w:t>
            </w:r>
            <w:r>
              <w:rPr>
                <w:color w:val="000000"/>
                <w:kern w:val="0"/>
                <w:sz w:val="22"/>
              </w:rPr>
              <w:t>：国际通用，成本低；</w:t>
            </w:r>
          </w:p>
          <w:p w14:paraId="039F0D4A">
            <w:pPr>
              <w:autoSpaceDE w:val="0"/>
              <w:autoSpaceDN w:val="0"/>
              <w:adjustRightInd w:val="0"/>
              <w:jc w:val="center"/>
              <w:rPr>
                <w:color w:val="000000"/>
                <w:kern w:val="0"/>
                <w:sz w:val="22"/>
              </w:rPr>
            </w:pPr>
            <w:r>
              <w:rPr>
                <w:bCs/>
                <w:color w:val="000000"/>
                <w:kern w:val="0"/>
                <w:sz w:val="22"/>
              </w:rPr>
              <w:t>缺点</w:t>
            </w:r>
            <w:r>
              <w:rPr>
                <w:color w:val="000000"/>
                <w:kern w:val="0"/>
                <w:sz w:val="22"/>
              </w:rPr>
              <w:t>：操作繁琐，重现性较差</w:t>
            </w:r>
          </w:p>
        </w:tc>
        <w:tc>
          <w:tcPr>
            <w:tcW w:w="2193" w:type="dxa"/>
            <w:noWrap w:val="0"/>
            <w:vAlign w:val="top"/>
          </w:tcPr>
          <w:p w14:paraId="667C6134">
            <w:pPr>
              <w:autoSpaceDE w:val="0"/>
              <w:autoSpaceDN w:val="0"/>
              <w:adjustRightInd w:val="0"/>
              <w:jc w:val="center"/>
              <w:rPr>
                <w:color w:val="000000"/>
                <w:kern w:val="0"/>
                <w:sz w:val="22"/>
              </w:rPr>
            </w:pPr>
            <w:r>
              <w:rPr>
                <w:bCs/>
                <w:color w:val="000000"/>
                <w:kern w:val="0"/>
                <w:sz w:val="22"/>
              </w:rPr>
              <w:t>优点</w:t>
            </w:r>
            <w:r>
              <w:rPr>
                <w:color w:val="000000"/>
                <w:kern w:val="0"/>
                <w:sz w:val="22"/>
              </w:rPr>
              <w:t>：操作可控性较好；</w:t>
            </w:r>
          </w:p>
          <w:p w14:paraId="6D048232">
            <w:pPr>
              <w:autoSpaceDE w:val="0"/>
              <w:autoSpaceDN w:val="0"/>
              <w:adjustRightInd w:val="0"/>
              <w:jc w:val="center"/>
              <w:rPr>
                <w:color w:val="000000"/>
                <w:kern w:val="0"/>
                <w:sz w:val="22"/>
              </w:rPr>
            </w:pPr>
            <w:r>
              <w:rPr>
                <w:bCs/>
                <w:color w:val="000000"/>
                <w:kern w:val="0"/>
                <w:sz w:val="22"/>
              </w:rPr>
              <w:t>缺点</w:t>
            </w:r>
            <w:r>
              <w:rPr>
                <w:color w:val="000000"/>
                <w:kern w:val="0"/>
                <w:sz w:val="22"/>
              </w:rPr>
              <w:t>：适用性窄，数据相关性争议大</w:t>
            </w:r>
          </w:p>
        </w:tc>
        <w:tc>
          <w:tcPr>
            <w:tcW w:w="1666" w:type="dxa"/>
            <w:noWrap w:val="0"/>
            <w:vAlign w:val="top"/>
          </w:tcPr>
          <w:p w14:paraId="077DE0A5">
            <w:pPr>
              <w:autoSpaceDE w:val="0"/>
              <w:autoSpaceDN w:val="0"/>
              <w:adjustRightInd w:val="0"/>
              <w:jc w:val="center"/>
              <w:rPr>
                <w:color w:val="000000"/>
                <w:kern w:val="0"/>
                <w:sz w:val="22"/>
              </w:rPr>
            </w:pPr>
            <w:r>
              <w:rPr>
                <w:bCs/>
                <w:color w:val="000000"/>
                <w:kern w:val="0"/>
                <w:sz w:val="22"/>
              </w:rPr>
              <w:t>优点</w:t>
            </w:r>
            <w:r>
              <w:rPr>
                <w:color w:val="000000"/>
                <w:kern w:val="0"/>
                <w:sz w:val="22"/>
              </w:rPr>
              <w:t>：适用于高温工艺研究；</w:t>
            </w:r>
          </w:p>
          <w:p w14:paraId="1B7927AC">
            <w:pPr>
              <w:autoSpaceDE w:val="0"/>
              <w:autoSpaceDN w:val="0"/>
              <w:adjustRightInd w:val="0"/>
              <w:jc w:val="center"/>
              <w:rPr>
                <w:color w:val="000000"/>
                <w:kern w:val="0"/>
                <w:sz w:val="22"/>
              </w:rPr>
            </w:pPr>
            <w:r>
              <w:rPr>
                <w:bCs/>
                <w:color w:val="000000"/>
                <w:kern w:val="0"/>
                <w:sz w:val="22"/>
              </w:rPr>
              <w:t>缺点</w:t>
            </w:r>
            <w:r>
              <w:rPr>
                <w:color w:val="000000"/>
                <w:kern w:val="0"/>
                <w:sz w:val="22"/>
              </w:rPr>
              <w:t>：数据与微量法一致性较差</w:t>
            </w:r>
          </w:p>
        </w:tc>
      </w:tr>
    </w:tbl>
    <w:p w14:paraId="01AB4EDB">
      <w:pPr>
        <w:autoSpaceDE w:val="0"/>
        <w:autoSpaceDN w:val="0"/>
        <w:adjustRightInd w:val="0"/>
        <w:spacing w:line="360" w:lineRule="auto"/>
        <w:ind w:firstLine="480" w:firstLineChars="200"/>
        <w:rPr>
          <w:rFonts w:hint="eastAsia" w:ascii="宋体" w:cs="宋体"/>
          <w:color w:val="000000"/>
          <w:kern w:val="0"/>
          <w:sz w:val="24"/>
        </w:rPr>
      </w:pPr>
      <w:bookmarkStart w:id="6" w:name="OLE_LINK6"/>
      <w:bookmarkStart w:id="7" w:name="OLE_LINK5"/>
      <w:r>
        <w:rPr>
          <w:rFonts w:hint="eastAsia" w:ascii="宋体" w:cs="宋体"/>
          <w:color w:val="000000"/>
          <w:kern w:val="0"/>
          <w:sz w:val="24"/>
        </w:rPr>
        <w:t>微量法</w:t>
      </w:r>
      <w:r>
        <w:rPr>
          <w:rFonts w:ascii="宋体" w:cs="宋体"/>
          <w:color w:val="000000"/>
          <w:kern w:val="0"/>
          <w:sz w:val="24"/>
        </w:rPr>
        <w:t>残炭测定仪</w:t>
      </w:r>
      <w:bookmarkEnd w:id="6"/>
      <w:bookmarkEnd w:id="7"/>
      <w:r>
        <w:rPr>
          <w:rFonts w:hint="eastAsia" w:ascii="宋体" w:cs="宋体"/>
          <w:color w:val="000000"/>
          <w:kern w:val="0"/>
          <w:sz w:val="24"/>
        </w:rPr>
        <w:t>的原理是通过高温裂解样品，测量残炭值。经过</w:t>
      </w:r>
      <w:r>
        <w:rPr>
          <w:rFonts w:ascii="宋体" w:cs="宋体"/>
          <w:color w:val="000000"/>
          <w:kern w:val="0"/>
          <w:sz w:val="24"/>
        </w:rPr>
        <w:t>调研</w:t>
      </w:r>
      <w:r>
        <w:rPr>
          <w:rFonts w:hint="eastAsia" w:ascii="宋体" w:cs="宋体"/>
          <w:color w:val="000000"/>
          <w:kern w:val="0"/>
          <w:sz w:val="24"/>
        </w:rPr>
        <w:t>，进口</w:t>
      </w:r>
      <w:r>
        <w:rPr>
          <w:rFonts w:ascii="宋体" w:cs="宋体"/>
          <w:color w:val="000000"/>
          <w:kern w:val="0"/>
          <w:sz w:val="24"/>
        </w:rPr>
        <w:t>仪器</w:t>
      </w:r>
      <w:r>
        <w:rPr>
          <w:rFonts w:hint="eastAsia" w:ascii="宋体" w:cs="宋体"/>
          <w:color w:val="000000"/>
          <w:kern w:val="0"/>
          <w:sz w:val="24"/>
        </w:rPr>
        <w:t>品牌</w:t>
      </w:r>
      <w:r>
        <w:rPr>
          <w:rFonts w:ascii="宋体" w:cs="宋体"/>
          <w:color w:val="000000"/>
          <w:kern w:val="0"/>
          <w:sz w:val="24"/>
        </w:rPr>
        <w:t>主要是日本</w:t>
      </w:r>
      <w:r>
        <w:rPr>
          <w:rFonts w:hint="eastAsia" w:ascii="宋体" w:cs="宋体"/>
          <w:color w:val="000000"/>
          <w:kern w:val="0"/>
          <w:sz w:val="24"/>
        </w:rPr>
        <w:t>田中、</w:t>
      </w:r>
      <w:r>
        <w:rPr>
          <w:rFonts w:ascii="宋体" w:cs="宋体"/>
          <w:color w:val="000000"/>
          <w:kern w:val="0"/>
          <w:sz w:val="24"/>
        </w:rPr>
        <w:t>美国</w:t>
      </w:r>
      <w:r>
        <w:rPr>
          <w:rFonts w:hint="eastAsia" w:ascii="宋体" w:cs="宋体"/>
          <w:color w:val="000000"/>
          <w:kern w:val="0"/>
          <w:sz w:val="24"/>
        </w:rPr>
        <w:t>克</w:t>
      </w:r>
      <w:r>
        <w:rPr>
          <w:rFonts w:ascii="宋体" w:cs="宋体"/>
          <w:color w:val="000000"/>
          <w:kern w:val="0"/>
          <w:sz w:val="24"/>
        </w:rPr>
        <w:t>勒</w:t>
      </w:r>
      <w:bookmarkStart w:id="8" w:name="OLE_LINK11"/>
      <w:r>
        <w:rPr>
          <w:rFonts w:hint="eastAsia" w:ascii="宋体" w:cs="宋体"/>
          <w:color w:val="000000"/>
          <w:kern w:val="0"/>
          <w:sz w:val="24"/>
        </w:rPr>
        <w:t>、法国</w:t>
      </w:r>
      <w:r>
        <w:rPr>
          <w:rFonts w:ascii="宋体" w:cs="宋体"/>
          <w:color w:val="000000"/>
          <w:kern w:val="0"/>
          <w:sz w:val="24"/>
        </w:rPr>
        <w:t>的NORMALAB</w:t>
      </w:r>
      <w:r>
        <w:rPr>
          <w:rFonts w:hint="eastAsia" w:ascii="宋体" w:cs="宋体"/>
          <w:color w:val="000000"/>
          <w:kern w:val="0"/>
          <w:sz w:val="24"/>
        </w:rPr>
        <w:t>公司</w:t>
      </w:r>
      <w:r>
        <w:rPr>
          <w:rFonts w:ascii="宋体" w:cs="宋体"/>
          <w:color w:val="000000"/>
          <w:kern w:val="0"/>
          <w:sz w:val="24"/>
        </w:rPr>
        <w:t>和</w:t>
      </w:r>
      <w:r>
        <w:rPr>
          <w:rFonts w:hint="eastAsia" w:ascii="宋体" w:cs="宋体"/>
          <w:color w:val="000000"/>
          <w:kern w:val="0"/>
          <w:sz w:val="24"/>
        </w:rPr>
        <w:t>美国PAC公司</w:t>
      </w:r>
      <w:bookmarkEnd w:id="8"/>
      <w:r>
        <w:rPr>
          <w:rFonts w:hint="eastAsia" w:ascii="宋体" w:cs="宋体"/>
          <w:color w:val="000000"/>
          <w:kern w:val="0"/>
          <w:sz w:val="24"/>
        </w:rPr>
        <w:t>。国产品牌众多，国产仪器市场</w:t>
      </w:r>
      <w:r>
        <w:rPr>
          <w:rFonts w:ascii="宋体" w:cs="宋体"/>
          <w:color w:val="000000"/>
          <w:kern w:val="0"/>
          <w:sz w:val="24"/>
        </w:rPr>
        <w:t>占有率</w:t>
      </w:r>
      <w:r>
        <w:rPr>
          <w:rFonts w:hint="eastAsia" w:ascii="宋体" w:cs="宋体"/>
          <w:color w:val="000000"/>
          <w:kern w:val="0"/>
          <w:sz w:val="24"/>
        </w:rPr>
        <w:t>较高但</w:t>
      </w:r>
      <w:r>
        <w:rPr>
          <w:rFonts w:ascii="宋体" w:cs="宋体"/>
          <w:color w:val="000000"/>
          <w:kern w:val="0"/>
          <w:sz w:val="24"/>
        </w:rPr>
        <w:t>国内</w:t>
      </w:r>
      <w:r>
        <w:rPr>
          <w:rFonts w:hint="eastAsia" w:ascii="宋体" w:cs="宋体"/>
          <w:color w:val="000000"/>
          <w:kern w:val="0"/>
          <w:sz w:val="24"/>
        </w:rPr>
        <w:t>生产</w:t>
      </w:r>
      <w:r>
        <w:rPr>
          <w:rFonts w:ascii="宋体" w:cs="宋体"/>
          <w:color w:val="000000"/>
          <w:kern w:val="0"/>
          <w:sz w:val="24"/>
        </w:rPr>
        <w:t>厂家</w:t>
      </w:r>
      <w:r>
        <w:rPr>
          <w:rFonts w:hint="eastAsia" w:ascii="宋体" w:cs="宋体"/>
          <w:color w:val="000000"/>
          <w:kern w:val="0"/>
          <w:sz w:val="24"/>
        </w:rPr>
        <w:t>较为</w:t>
      </w:r>
      <w:r>
        <w:rPr>
          <w:rFonts w:ascii="宋体" w:cs="宋体"/>
          <w:color w:val="000000"/>
          <w:kern w:val="0"/>
          <w:sz w:val="24"/>
        </w:rPr>
        <w:t>分散，</w:t>
      </w:r>
      <w:r>
        <w:rPr>
          <w:rFonts w:hint="eastAsia" w:ascii="宋体" w:cs="宋体"/>
          <w:color w:val="000000"/>
          <w:kern w:val="0"/>
          <w:sz w:val="24"/>
        </w:rPr>
        <w:t>主要生产微量残炭仪的厂家及其代表性产品有得利特（北京）科技有限公司生产</w:t>
      </w:r>
      <w:r>
        <w:rPr>
          <w:rFonts w:ascii="宋体" w:cs="宋体"/>
          <w:color w:val="000000"/>
          <w:kern w:val="0"/>
          <w:sz w:val="24"/>
        </w:rPr>
        <w:t>的A1260</w:t>
      </w:r>
      <w:r>
        <w:rPr>
          <w:rFonts w:hint="eastAsia" w:ascii="宋体" w:cs="宋体"/>
          <w:color w:val="000000"/>
          <w:kern w:val="0"/>
          <w:sz w:val="24"/>
        </w:rPr>
        <w:t>型</w:t>
      </w:r>
      <w:r>
        <w:rPr>
          <w:rFonts w:ascii="宋体" w:cs="宋体"/>
          <w:color w:val="000000"/>
          <w:kern w:val="0"/>
          <w:sz w:val="24"/>
        </w:rPr>
        <w:t>、</w:t>
      </w:r>
      <w:r>
        <w:rPr>
          <w:rFonts w:hint="eastAsia" w:ascii="宋体" w:cs="宋体"/>
          <w:color w:val="000000"/>
          <w:kern w:val="0"/>
          <w:sz w:val="24"/>
        </w:rPr>
        <w:t>北京时代新维测控设备有限公司的</w:t>
      </w:r>
      <w:r>
        <w:rPr>
          <w:rFonts w:ascii="宋体" w:cs="宋体"/>
          <w:color w:val="000000"/>
          <w:kern w:val="0"/>
          <w:sz w:val="24"/>
        </w:rPr>
        <w:t>TP737</w:t>
      </w:r>
      <w:r>
        <w:rPr>
          <w:rFonts w:hint="eastAsia" w:ascii="宋体" w:cs="宋体"/>
          <w:color w:val="000000"/>
          <w:kern w:val="0"/>
          <w:sz w:val="24"/>
        </w:rPr>
        <w:t>型、深圳市联合嘉利科技有限公司的</w:t>
      </w:r>
      <w:r>
        <w:rPr>
          <w:rFonts w:ascii="Segoe UI" w:hAnsi="Segoe UI" w:cs="Segoe UI"/>
          <w:color w:val="404040"/>
        </w:rPr>
        <w:t>MCR100</w:t>
      </w:r>
      <w:r>
        <w:rPr>
          <w:rFonts w:hint="eastAsia" w:ascii="宋体" w:cs="宋体"/>
          <w:color w:val="000000"/>
          <w:kern w:val="0"/>
          <w:sz w:val="24"/>
        </w:rPr>
        <w:t>型</w:t>
      </w:r>
      <w:r>
        <w:rPr>
          <w:rFonts w:ascii="宋体" w:cs="宋体"/>
          <w:color w:val="000000"/>
          <w:kern w:val="0"/>
          <w:sz w:val="24"/>
        </w:rPr>
        <w:t>、</w:t>
      </w:r>
      <w:r>
        <w:rPr>
          <w:rFonts w:hint="eastAsia" w:ascii="宋体" w:cs="宋体"/>
          <w:color w:val="000000"/>
          <w:kern w:val="0"/>
          <w:sz w:val="24"/>
        </w:rPr>
        <w:t>山东盛泰仪器有限公司的</w:t>
      </w:r>
      <w:r>
        <w:rPr>
          <w:rFonts w:ascii="宋体" w:cs="宋体"/>
          <w:color w:val="000000"/>
          <w:kern w:val="0"/>
          <w:sz w:val="24"/>
        </w:rPr>
        <w:t>SH109</w:t>
      </w:r>
      <w:r>
        <w:rPr>
          <w:rFonts w:hint="eastAsia" w:ascii="宋体" w:cs="宋体"/>
          <w:color w:val="000000"/>
          <w:kern w:val="0"/>
          <w:sz w:val="24"/>
        </w:rPr>
        <w:t>型</w:t>
      </w:r>
      <w:r>
        <w:rPr>
          <w:rFonts w:ascii="宋体" w:cs="宋体"/>
          <w:color w:val="000000"/>
          <w:kern w:val="0"/>
          <w:sz w:val="24"/>
        </w:rPr>
        <w:t>、</w:t>
      </w:r>
      <w:r>
        <w:rPr>
          <w:rFonts w:hint="eastAsia" w:ascii="宋体" w:cs="宋体"/>
          <w:color w:val="000000"/>
          <w:kern w:val="0"/>
          <w:sz w:val="24"/>
        </w:rPr>
        <w:t>上海阳光科学仪器制造有限公司的YG</w:t>
      </w:r>
      <w:r>
        <w:rPr>
          <w:rFonts w:ascii="宋体" w:cs="宋体"/>
          <w:color w:val="000000"/>
          <w:kern w:val="0"/>
          <w:sz w:val="24"/>
        </w:rPr>
        <w:t>-2711</w:t>
      </w:r>
      <w:r>
        <w:rPr>
          <w:rFonts w:hint="eastAsia" w:ascii="宋体" w:cs="宋体"/>
          <w:color w:val="000000"/>
          <w:kern w:val="0"/>
          <w:sz w:val="24"/>
        </w:rPr>
        <w:t>型、上海</w:t>
      </w:r>
      <w:r>
        <w:rPr>
          <w:rFonts w:ascii="宋体" w:cs="宋体"/>
          <w:color w:val="000000"/>
          <w:kern w:val="0"/>
          <w:sz w:val="24"/>
        </w:rPr>
        <w:t>景颐自动化设备有限公司、</w:t>
      </w:r>
      <w:r>
        <w:rPr>
          <w:rFonts w:hint="eastAsia" w:ascii="宋体" w:cs="宋体"/>
          <w:color w:val="000000"/>
          <w:kern w:val="0"/>
          <w:sz w:val="24"/>
        </w:rPr>
        <w:t>上海程斯智能科技有限公司</w:t>
      </w:r>
      <w:r>
        <w:rPr>
          <w:rFonts w:ascii="宋体" w:cs="宋体"/>
          <w:color w:val="000000"/>
          <w:kern w:val="0"/>
          <w:sz w:val="24"/>
        </w:rPr>
        <w:t>CSI-TE193</w:t>
      </w:r>
      <w:r>
        <w:rPr>
          <w:rFonts w:hint="eastAsia" w:ascii="宋体" w:cs="宋体"/>
          <w:color w:val="000000"/>
          <w:kern w:val="0"/>
          <w:sz w:val="24"/>
        </w:rPr>
        <w:t>型、上海神</w:t>
      </w:r>
      <w:r>
        <w:rPr>
          <w:rFonts w:ascii="宋体" w:cs="宋体"/>
          <w:color w:val="000000"/>
          <w:kern w:val="0"/>
          <w:sz w:val="24"/>
        </w:rPr>
        <w:t>开石油仪器有限公司、</w:t>
      </w:r>
      <w:r>
        <w:rPr>
          <w:rFonts w:hint="eastAsia" w:ascii="宋体" w:cs="宋体"/>
          <w:color w:val="000000"/>
          <w:kern w:val="0"/>
          <w:sz w:val="24"/>
        </w:rPr>
        <w:t>湖南慑力电子科技有限公司的</w:t>
      </w:r>
      <w:r>
        <w:rPr>
          <w:rFonts w:ascii="宋体" w:cs="宋体"/>
          <w:color w:val="000000"/>
          <w:kern w:val="0"/>
          <w:sz w:val="24"/>
        </w:rPr>
        <w:t>SL-CT108</w:t>
      </w:r>
      <w:r>
        <w:rPr>
          <w:rFonts w:hint="eastAsia" w:ascii="宋体" w:cs="宋体"/>
          <w:color w:val="000000"/>
          <w:kern w:val="0"/>
          <w:sz w:val="24"/>
        </w:rPr>
        <w:t>型、湖南</w:t>
      </w:r>
      <w:r>
        <w:rPr>
          <w:rFonts w:ascii="宋体" w:cs="宋体"/>
          <w:color w:val="000000"/>
          <w:kern w:val="0"/>
          <w:sz w:val="24"/>
        </w:rPr>
        <w:t>津市市石油化工仪器有限公司、</w:t>
      </w:r>
      <w:r>
        <w:rPr>
          <w:rFonts w:hint="eastAsia" w:ascii="宋体" w:cs="宋体"/>
          <w:color w:val="000000"/>
          <w:kern w:val="0"/>
          <w:sz w:val="24"/>
        </w:rPr>
        <w:t>菏泽</w:t>
      </w:r>
      <w:r>
        <w:rPr>
          <w:rFonts w:ascii="宋体" w:cs="宋体"/>
          <w:color w:val="000000"/>
          <w:kern w:val="0"/>
          <w:sz w:val="24"/>
        </w:rPr>
        <w:t>市新世纪仪器仪表有限公司</w:t>
      </w:r>
      <w:r>
        <w:rPr>
          <w:rFonts w:hint="eastAsia" w:ascii="宋体" w:cs="宋体"/>
          <w:color w:val="000000"/>
          <w:kern w:val="0"/>
          <w:sz w:val="24"/>
        </w:rPr>
        <w:t>、西安卓凡石油仪器有限公司</w:t>
      </w:r>
      <w:r>
        <w:rPr>
          <w:rFonts w:ascii="宋体" w:cs="宋体"/>
          <w:color w:val="000000"/>
          <w:kern w:val="0"/>
          <w:sz w:val="24"/>
        </w:rPr>
        <w:t>ZFY-17144B</w:t>
      </w:r>
      <w:r>
        <w:rPr>
          <w:rFonts w:hint="eastAsia" w:ascii="宋体" w:cs="宋体"/>
          <w:color w:val="000000"/>
          <w:kern w:val="0"/>
          <w:sz w:val="24"/>
        </w:rPr>
        <w:t>型、庆阳</w:t>
      </w:r>
      <w:r>
        <w:rPr>
          <w:rFonts w:ascii="宋体" w:cs="宋体"/>
          <w:color w:val="000000"/>
          <w:kern w:val="0"/>
          <w:sz w:val="24"/>
        </w:rPr>
        <w:t>戴瑞特石油仪器有限公司、辽宁华科</w:t>
      </w:r>
      <w:r>
        <w:rPr>
          <w:rFonts w:hint="eastAsia" w:ascii="宋体" w:cs="宋体"/>
          <w:color w:val="000000"/>
          <w:kern w:val="0"/>
          <w:sz w:val="24"/>
        </w:rPr>
        <w:t>，</w:t>
      </w:r>
      <w:r>
        <w:rPr>
          <w:rFonts w:ascii="宋体" w:cs="宋体"/>
          <w:color w:val="000000"/>
          <w:kern w:val="0"/>
          <w:sz w:val="24"/>
        </w:rPr>
        <w:t>还有很多地方性占有率比较高的如大连瑞德</w:t>
      </w:r>
      <w:r>
        <w:rPr>
          <w:rFonts w:hint="eastAsia" w:ascii="宋体" w:cs="宋体"/>
          <w:color w:val="000000"/>
          <w:kern w:val="0"/>
          <w:sz w:val="24"/>
        </w:rPr>
        <w:t>仪器</w:t>
      </w:r>
      <w:r>
        <w:rPr>
          <w:rFonts w:ascii="宋体" w:cs="宋体"/>
          <w:color w:val="000000"/>
          <w:kern w:val="0"/>
          <w:sz w:val="24"/>
        </w:rPr>
        <w:t>有限公司、大连远东兴仪器有限公司</w:t>
      </w:r>
      <w:r>
        <w:rPr>
          <w:rFonts w:hint="eastAsia" w:ascii="宋体" w:cs="宋体"/>
          <w:color w:val="000000"/>
          <w:kern w:val="0"/>
          <w:sz w:val="24"/>
        </w:rPr>
        <w:t>、</w:t>
      </w:r>
      <w:r>
        <w:rPr>
          <w:rFonts w:ascii="宋体" w:cs="宋体"/>
          <w:color w:val="000000"/>
          <w:kern w:val="0"/>
          <w:sz w:val="24"/>
        </w:rPr>
        <w:t>大连北方分析仪器有限公司、大连石油仪器有限公司</w:t>
      </w:r>
      <w:r>
        <w:rPr>
          <w:rFonts w:hint="eastAsia" w:ascii="宋体" w:cs="宋体"/>
          <w:color w:val="000000"/>
          <w:kern w:val="0"/>
          <w:sz w:val="24"/>
        </w:rPr>
        <w:t>、</w:t>
      </w:r>
      <w:r>
        <w:rPr>
          <w:rFonts w:ascii="宋体" w:cs="宋体"/>
          <w:color w:val="000000"/>
          <w:kern w:val="0"/>
          <w:sz w:val="24"/>
        </w:rPr>
        <w:t>大连邦能石油仪器有限公司</w:t>
      </w:r>
      <w:r>
        <w:rPr>
          <w:rFonts w:hint="eastAsia" w:ascii="宋体" w:cs="宋体"/>
          <w:color w:val="000000"/>
          <w:kern w:val="0"/>
          <w:sz w:val="24"/>
        </w:rPr>
        <w:t>、大连</w:t>
      </w:r>
      <w:r>
        <w:rPr>
          <w:rFonts w:ascii="宋体" w:cs="宋体"/>
          <w:color w:val="000000"/>
          <w:kern w:val="0"/>
          <w:sz w:val="24"/>
        </w:rPr>
        <w:t>格博特自动化有限公司</w:t>
      </w:r>
      <w:r>
        <w:rPr>
          <w:rFonts w:hint="eastAsia" w:ascii="宋体" w:cs="宋体"/>
          <w:color w:val="000000"/>
          <w:kern w:val="0"/>
          <w:sz w:val="24"/>
        </w:rPr>
        <w:t>等，市场上生产厂家众多，亟需制定规范，加快助力相关领域发展。目前，国内相关的计量技术规范包括，国家标准GB/T17144</w:t>
      </w:r>
      <w:r>
        <w:rPr>
          <w:rFonts w:ascii="宋体" w:cs="宋体"/>
          <w:color w:val="000000"/>
          <w:kern w:val="0"/>
          <w:sz w:val="24"/>
        </w:rPr>
        <w:t>-2021</w:t>
      </w:r>
      <w:r>
        <w:rPr>
          <w:rFonts w:hint="eastAsia" w:ascii="宋体" w:cs="宋体"/>
          <w:color w:val="000000"/>
          <w:kern w:val="0"/>
          <w:sz w:val="24"/>
        </w:rPr>
        <w:t>《石油产品残炭测定法（微量法）》；地方计量技术规范</w:t>
      </w:r>
      <w:bookmarkStart w:id="9" w:name="OLE_LINK10"/>
      <w:bookmarkStart w:id="10" w:name="OLE_LINK9"/>
      <w:r>
        <w:rPr>
          <w:rFonts w:hint="eastAsia" w:ascii="宋体" w:cs="宋体"/>
          <w:color w:val="000000"/>
          <w:kern w:val="0"/>
          <w:sz w:val="24"/>
        </w:rPr>
        <w:t>JJF（辽）435-2020《残炭测定器（微量法）校准规范》</w:t>
      </w:r>
      <w:bookmarkEnd w:id="9"/>
      <w:bookmarkEnd w:id="10"/>
      <w:r>
        <w:rPr>
          <w:rFonts w:hint="eastAsia" w:ascii="宋体" w:cs="宋体"/>
          <w:color w:val="000000"/>
          <w:kern w:val="0"/>
          <w:sz w:val="24"/>
        </w:rPr>
        <w:t>、JJF（辽）4</w:t>
      </w:r>
      <w:r>
        <w:rPr>
          <w:rFonts w:ascii="宋体" w:cs="宋体"/>
          <w:color w:val="000000"/>
          <w:kern w:val="0"/>
          <w:sz w:val="24"/>
        </w:rPr>
        <w:t>45</w:t>
      </w:r>
      <w:r>
        <w:rPr>
          <w:rFonts w:hint="eastAsia" w:ascii="宋体" w:cs="宋体"/>
          <w:color w:val="000000"/>
          <w:kern w:val="0"/>
          <w:sz w:val="24"/>
        </w:rPr>
        <w:t>-2020《残炭炉温度</w:t>
      </w:r>
      <w:r>
        <w:rPr>
          <w:rFonts w:ascii="宋体" w:cs="宋体"/>
          <w:color w:val="000000"/>
          <w:kern w:val="0"/>
          <w:sz w:val="24"/>
        </w:rPr>
        <w:t>参数</w:t>
      </w:r>
      <w:r>
        <w:rPr>
          <w:rFonts w:hint="eastAsia" w:ascii="宋体" w:cs="宋体"/>
          <w:color w:val="000000"/>
          <w:kern w:val="0"/>
          <w:sz w:val="24"/>
        </w:rPr>
        <w:t>校准规范》、JJF（新）112-202</w:t>
      </w:r>
      <w:r>
        <w:rPr>
          <w:rFonts w:ascii="宋体" w:cs="宋体"/>
          <w:color w:val="000000"/>
          <w:kern w:val="0"/>
          <w:sz w:val="24"/>
        </w:rPr>
        <w:t>3</w:t>
      </w:r>
      <w:r>
        <w:rPr>
          <w:rFonts w:hint="eastAsia" w:ascii="宋体" w:cs="宋体"/>
          <w:color w:val="000000"/>
          <w:kern w:val="0"/>
          <w:sz w:val="24"/>
        </w:rPr>
        <w:t>《微量残炭测定仪校准规范》；行业</w:t>
      </w:r>
      <w:r>
        <w:rPr>
          <w:rFonts w:ascii="宋体" w:cs="宋体"/>
          <w:color w:val="000000"/>
          <w:kern w:val="0"/>
          <w:sz w:val="24"/>
        </w:rPr>
        <w:t>计量技术规范</w:t>
      </w:r>
      <w:r>
        <w:rPr>
          <w:rFonts w:hint="eastAsia" w:ascii="宋体" w:cs="宋体"/>
          <w:color w:val="000000"/>
          <w:kern w:val="0"/>
          <w:sz w:val="24"/>
        </w:rPr>
        <w:t>JJF（石化）056-2021《微量法残炭测定器校准规范》。国家标准中缺乏相应的计量性能的明确指标，地方规范和</w:t>
      </w:r>
      <w:r>
        <w:rPr>
          <w:rFonts w:ascii="宋体" w:cs="宋体"/>
          <w:color w:val="000000"/>
          <w:kern w:val="0"/>
          <w:sz w:val="24"/>
        </w:rPr>
        <w:t>行业</w:t>
      </w:r>
      <w:r>
        <w:rPr>
          <w:rFonts w:hint="eastAsia" w:ascii="宋体" w:cs="宋体"/>
          <w:color w:val="000000"/>
          <w:kern w:val="0"/>
          <w:sz w:val="24"/>
        </w:rPr>
        <w:t>规范对微量法残炭</w:t>
      </w:r>
      <w:r>
        <w:rPr>
          <w:rFonts w:ascii="宋体" w:cs="宋体"/>
          <w:color w:val="000000"/>
          <w:kern w:val="0"/>
          <w:sz w:val="24"/>
        </w:rPr>
        <w:t>测定仪</w:t>
      </w:r>
      <w:r>
        <w:rPr>
          <w:rFonts w:hint="eastAsia" w:ascii="宋体" w:cs="宋体"/>
          <w:color w:val="000000"/>
          <w:kern w:val="0"/>
          <w:sz w:val="24"/>
        </w:rPr>
        <w:t>的温度计量性能研究不足。目前市场上微量法残炭</w:t>
      </w:r>
      <w:r>
        <w:rPr>
          <w:rFonts w:ascii="宋体" w:cs="宋体"/>
          <w:color w:val="000000"/>
          <w:kern w:val="0"/>
          <w:sz w:val="24"/>
        </w:rPr>
        <w:t>测定仪</w:t>
      </w:r>
      <w:r>
        <w:rPr>
          <w:rFonts w:hint="eastAsia" w:ascii="宋体" w:cs="宋体"/>
          <w:color w:val="000000"/>
          <w:kern w:val="0"/>
          <w:sz w:val="24"/>
        </w:rPr>
        <w:t>的各项指标均有提升，在此基础上亟需对仪器的各项指标起草更符合计量溯源意义的规范，保证重要石化检测仪器的量值溯源。</w:t>
      </w:r>
    </w:p>
    <w:p w14:paraId="033BEAA6">
      <w:pPr>
        <w:autoSpaceDE w:val="0"/>
        <w:autoSpaceDN w:val="0"/>
        <w:adjustRightInd w:val="0"/>
        <w:spacing w:line="500" w:lineRule="exact"/>
        <w:rPr>
          <w:rFonts w:hint="eastAsia" w:ascii="宋体" w:cs="宋体"/>
          <w:color w:val="000000"/>
          <w:kern w:val="0"/>
          <w:sz w:val="24"/>
        </w:rPr>
      </w:pPr>
      <w:r>
        <w:rPr>
          <w:rFonts w:hint="eastAsia" w:ascii="宋体" w:cs="宋体"/>
          <w:color w:val="000000"/>
          <w:kern w:val="0"/>
          <w:sz w:val="24"/>
        </w:rPr>
        <w:t>主要</w:t>
      </w:r>
      <w:r>
        <w:rPr>
          <w:rFonts w:ascii="宋体" w:cs="宋体"/>
          <w:color w:val="000000"/>
          <w:kern w:val="0"/>
          <w:sz w:val="24"/>
        </w:rPr>
        <w:t>技术依据</w:t>
      </w:r>
      <w:r>
        <w:rPr>
          <w:rFonts w:hint="eastAsia" w:ascii="宋体" w:cs="宋体"/>
          <w:color w:val="000000"/>
          <w:kern w:val="0"/>
          <w:sz w:val="24"/>
        </w:rPr>
        <w:t>：</w:t>
      </w:r>
    </w:p>
    <w:p w14:paraId="3122B4BE">
      <w:pPr>
        <w:autoSpaceDE w:val="0"/>
        <w:autoSpaceDN w:val="0"/>
        <w:adjustRightInd w:val="0"/>
        <w:spacing w:line="500" w:lineRule="exact"/>
        <w:ind w:firstLine="460" w:firstLineChars="192"/>
        <w:rPr>
          <w:rFonts w:ascii="宋体" w:cs="宋体"/>
          <w:color w:val="000000"/>
          <w:kern w:val="0"/>
          <w:sz w:val="24"/>
        </w:rPr>
      </w:pPr>
      <w:r>
        <w:rPr>
          <w:rFonts w:hint="eastAsia" w:ascii="宋体" w:cs="宋体"/>
          <w:color w:val="000000"/>
          <w:kern w:val="0"/>
          <w:sz w:val="24"/>
        </w:rPr>
        <w:t>JJF1071-2010《国家计量校准规范编写规则》</w:t>
      </w:r>
    </w:p>
    <w:p w14:paraId="2616411E">
      <w:pPr>
        <w:autoSpaceDE w:val="0"/>
        <w:autoSpaceDN w:val="0"/>
        <w:adjustRightInd w:val="0"/>
        <w:spacing w:line="500" w:lineRule="exact"/>
        <w:ind w:firstLine="460" w:firstLineChars="192"/>
        <w:rPr>
          <w:rFonts w:hint="eastAsia" w:ascii="宋体" w:cs="宋体"/>
          <w:color w:val="000000"/>
          <w:kern w:val="0"/>
          <w:sz w:val="24"/>
        </w:rPr>
      </w:pPr>
      <w:r>
        <w:rPr>
          <w:rFonts w:hint="eastAsia" w:ascii="宋体" w:cs="宋体"/>
          <w:color w:val="000000"/>
          <w:kern w:val="0"/>
          <w:sz w:val="24"/>
        </w:rPr>
        <w:t>JJF</w:t>
      </w:r>
      <w:r>
        <w:rPr>
          <w:rFonts w:ascii="宋体" w:cs="宋体"/>
          <w:color w:val="000000"/>
          <w:kern w:val="0"/>
          <w:sz w:val="24"/>
        </w:rPr>
        <w:t>1001-2018</w:t>
      </w:r>
      <w:r>
        <w:rPr>
          <w:rFonts w:hint="eastAsia" w:ascii="宋体" w:cs="宋体"/>
          <w:color w:val="000000"/>
          <w:kern w:val="0"/>
          <w:sz w:val="24"/>
        </w:rPr>
        <w:t>《通用计量术语</w:t>
      </w:r>
      <w:r>
        <w:rPr>
          <w:rFonts w:ascii="宋体" w:cs="宋体"/>
          <w:color w:val="000000"/>
          <w:kern w:val="0"/>
          <w:sz w:val="24"/>
        </w:rPr>
        <w:t>及定义</w:t>
      </w:r>
      <w:r>
        <w:rPr>
          <w:rFonts w:hint="eastAsia" w:ascii="宋体" w:cs="宋体"/>
          <w:color w:val="000000"/>
          <w:kern w:val="0"/>
          <w:sz w:val="24"/>
        </w:rPr>
        <w:t>》</w:t>
      </w:r>
    </w:p>
    <w:p w14:paraId="6D78D15D">
      <w:pPr>
        <w:autoSpaceDE w:val="0"/>
        <w:autoSpaceDN w:val="0"/>
        <w:adjustRightInd w:val="0"/>
        <w:spacing w:line="500" w:lineRule="exact"/>
        <w:ind w:firstLine="460" w:firstLineChars="192"/>
        <w:rPr>
          <w:rFonts w:hint="eastAsia" w:ascii="宋体" w:cs="宋体"/>
          <w:color w:val="000000"/>
          <w:kern w:val="0"/>
          <w:sz w:val="24"/>
        </w:rPr>
      </w:pPr>
      <w:r>
        <w:rPr>
          <w:rFonts w:hint="eastAsia" w:ascii="宋体" w:cs="宋体"/>
          <w:color w:val="000000"/>
          <w:kern w:val="0"/>
          <w:sz w:val="24"/>
        </w:rPr>
        <w:t>JJF</w:t>
      </w:r>
      <w:r>
        <w:rPr>
          <w:rFonts w:ascii="宋体" w:cs="宋体"/>
          <w:color w:val="000000"/>
          <w:kern w:val="0"/>
          <w:sz w:val="24"/>
        </w:rPr>
        <w:t>1059.1-2012</w:t>
      </w:r>
      <w:r>
        <w:rPr>
          <w:rFonts w:hint="eastAsia" w:ascii="宋体" w:cs="宋体"/>
          <w:color w:val="000000"/>
          <w:kern w:val="0"/>
          <w:sz w:val="24"/>
        </w:rPr>
        <w:t>《测量</w:t>
      </w:r>
      <w:r>
        <w:rPr>
          <w:rFonts w:ascii="宋体" w:cs="宋体"/>
          <w:color w:val="000000"/>
          <w:kern w:val="0"/>
          <w:sz w:val="24"/>
        </w:rPr>
        <w:t>不确定度评定与表示</w:t>
      </w:r>
      <w:r>
        <w:rPr>
          <w:rFonts w:hint="eastAsia" w:ascii="宋体" w:cs="宋体"/>
          <w:color w:val="000000"/>
          <w:kern w:val="0"/>
          <w:sz w:val="24"/>
        </w:rPr>
        <w:t>》</w:t>
      </w:r>
    </w:p>
    <w:p w14:paraId="1EC6E19A">
      <w:pPr>
        <w:autoSpaceDE w:val="0"/>
        <w:autoSpaceDN w:val="0"/>
        <w:adjustRightInd w:val="0"/>
        <w:spacing w:line="500" w:lineRule="exact"/>
        <w:ind w:firstLine="460" w:firstLineChars="192"/>
        <w:rPr>
          <w:rFonts w:hint="eastAsia" w:ascii="宋体" w:cs="宋体"/>
          <w:color w:val="000000"/>
          <w:kern w:val="0"/>
          <w:sz w:val="24"/>
        </w:rPr>
      </w:pPr>
      <w:r>
        <w:rPr>
          <w:rFonts w:hint="eastAsia" w:ascii="宋体" w:cs="宋体"/>
          <w:color w:val="000000"/>
          <w:kern w:val="0"/>
          <w:sz w:val="24"/>
        </w:rPr>
        <w:t>GB/T17144</w:t>
      </w:r>
      <w:r>
        <w:rPr>
          <w:rFonts w:ascii="宋体" w:cs="宋体"/>
          <w:color w:val="000000"/>
          <w:kern w:val="0"/>
          <w:sz w:val="24"/>
        </w:rPr>
        <w:t>-2021</w:t>
      </w:r>
      <w:r>
        <w:rPr>
          <w:rFonts w:hint="eastAsia" w:ascii="宋体" w:cs="宋体"/>
          <w:color w:val="000000"/>
          <w:kern w:val="0"/>
          <w:sz w:val="24"/>
        </w:rPr>
        <w:t>《石油产品残炭测定法（微量法）》。</w:t>
      </w:r>
    </w:p>
    <w:p w14:paraId="21982CB8">
      <w:pPr>
        <w:widowControl/>
        <w:spacing w:line="440" w:lineRule="exact"/>
        <w:rPr>
          <w:rFonts w:hint="eastAsia" w:eastAsia="黑体"/>
          <w:kern w:val="0"/>
          <w:sz w:val="28"/>
          <w:szCs w:val="28"/>
          <w:lang w:val="en-US" w:eastAsia="zh-CN"/>
        </w:rPr>
      </w:pPr>
      <w:r>
        <w:rPr>
          <w:rFonts w:hint="eastAsia" w:eastAsia="黑体"/>
          <w:kern w:val="0"/>
          <w:sz w:val="28"/>
          <w:szCs w:val="28"/>
          <w:lang w:val="en-US" w:eastAsia="zh-CN"/>
        </w:rPr>
        <w:t>1.3  起草过程</w:t>
      </w:r>
    </w:p>
    <w:p w14:paraId="08166C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b w:val="0"/>
          <w:bCs w:val="0"/>
          <w:sz w:val="24"/>
          <w:szCs w:val="24"/>
          <w:lang w:val="en-US" w:eastAsia="zh-CN"/>
        </w:rPr>
      </w:pPr>
      <w:r>
        <w:rPr>
          <w:rFonts w:hint="eastAsia"/>
          <w:b w:val="0"/>
          <w:bCs w:val="0"/>
          <w:sz w:val="24"/>
          <w:szCs w:val="24"/>
          <w:lang w:val="en-US" w:eastAsia="zh-CN"/>
        </w:rPr>
        <w:t>2024年1月申报微量法残炭测定仪校准规范申报书；</w:t>
      </w:r>
    </w:p>
    <w:p w14:paraId="2834F3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b w:val="0"/>
          <w:bCs w:val="0"/>
          <w:sz w:val="24"/>
          <w:szCs w:val="24"/>
          <w:lang w:val="en-US" w:eastAsia="zh-CN"/>
        </w:rPr>
      </w:pPr>
      <w:r>
        <w:rPr>
          <w:rFonts w:hint="eastAsia"/>
          <w:b w:val="0"/>
          <w:bCs w:val="0"/>
          <w:sz w:val="24"/>
          <w:szCs w:val="24"/>
          <w:lang w:val="en-US" w:eastAsia="zh-CN"/>
        </w:rPr>
        <w:t>2024年5月市场监管总局办公厅正式通知《关于印发 2024 年国家计量技术规范项目制定、修订及宣贯计划》；</w:t>
      </w:r>
    </w:p>
    <w:p w14:paraId="424B4E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b w:val="0"/>
          <w:bCs w:val="0"/>
          <w:sz w:val="24"/>
          <w:szCs w:val="24"/>
          <w:lang w:val="en-US" w:eastAsia="zh-CN"/>
        </w:rPr>
      </w:pPr>
      <w:r>
        <w:rPr>
          <w:rFonts w:hint="eastAsia"/>
          <w:b w:val="0"/>
          <w:bCs w:val="0"/>
          <w:sz w:val="24"/>
          <w:szCs w:val="24"/>
          <w:lang w:val="en-US" w:eastAsia="zh-CN"/>
        </w:rPr>
        <w:t>2024年9月，</w:t>
      </w:r>
      <w:r>
        <w:rPr>
          <w:rFonts w:hint="default"/>
          <w:b w:val="0"/>
          <w:bCs w:val="0"/>
          <w:sz w:val="24"/>
          <w:szCs w:val="24"/>
          <w:lang w:val="en-US" w:eastAsia="zh-CN"/>
        </w:rPr>
        <w:t>全国石油专用计量测试技术委员会石油加工及产品检验检测工作组</w:t>
      </w:r>
      <w:r>
        <w:rPr>
          <w:rFonts w:hint="eastAsia"/>
          <w:b w:val="0"/>
          <w:bCs w:val="0"/>
          <w:sz w:val="24"/>
          <w:szCs w:val="24"/>
          <w:lang w:val="en-US" w:eastAsia="zh-CN"/>
        </w:rPr>
        <w:t>进行规范编制线上协调会。</w:t>
      </w:r>
    </w:p>
    <w:p w14:paraId="43EE8B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b w:val="0"/>
          <w:bCs w:val="0"/>
          <w:sz w:val="24"/>
          <w:szCs w:val="24"/>
          <w:lang w:val="en-US" w:eastAsia="zh-CN"/>
        </w:rPr>
      </w:pPr>
      <w:r>
        <w:rPr>
          <w:rFonts w:hint="eastAsia"/>
          <w:b w:val="0"/>
          <w:bCs w:val="0"/>
          <w:sz w:val="24"/>
          <w:szCs w:val="24"/>
          <w:lang w:val="en-US" w:eastAsia="zh-CN"/>
        </w:rPr>
        <w:t>2025年3月，</w:t>
      </w:r>
      <w:r>
        <w:rPr>
          <w:rFonts w:hint="default"/>
          <w:b w:val="0"/>
          <w:bCs w:val="0"/>
          <w:sz w:val="24"/>
          <w:szCs w:val="24"/>
          <w:lang w:val="en-US" w:eastAsia="zh-CN"/>
        </w:rPr>
        <w:t>全国石油专用计量测试技术委员会石油加工及产品检验检测工作组</w:t>
      </w:r>
      <w:r>
        <w:rPr>
          <w:rFonts w:hint="eastAsia"/>
          <w:b w:val="0"/>
          <w:bCs w:val="0"/>
          <w:sz w:val="24"/>
          <w:szCs w:val="24"/>
          <w:lang w:val="en-US" w:eastAsia="zh-CN"/>
        </w:rPr>
        <w:t>进行规范编制协调会。</w:t>
      </w:r>
    </w:p>
    <w:p w14:paraId="211BC4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b w:val="0"/>
          <w:bCs w:val="0"/>
          <w:sz w:val="24"/>
          <w:szCs w:val="24"/>
          <w:lang w:val="en-US" w:eastAsia="zh-CN"/>
        </w:rPr>
      </w:pPr>
      <w:r>
        <w:rPr>
          <w:rFonts w:hint="eastAsia"/>
          <w:b w:val="0"/>
          <w:bCs w:val="0"/>
          <w:sz w:val="24"/>
          <w:szCs w:val="24"/>
          <w:lang w:val="en-US" w:eastAsia="zh-CN"/>
        </w:rPr>
        <w:t>2025年8月，</w:t>
      </w:r>
      <w:r>
        <w:rPr>
          <w:rFonts w:hint="default"/>
          <w:b w:val="0"/>
          <w:bCs w:val="0"/>
          <w:sz w:val="24"/>
          <w:szCs w:val="24"/>
          <w:lang w:val="en-US" w:eastAsia="zh-CN"/>
        </w:rPr>
        <w:t>全国石油专用计量测试技术委员会石油加工及产品检验检测工作组</w:t>
      </w:r>
      <w:r>
        <w:rPr>
          <w:rFonts w:hint="eastAsia"/>
          <w:b w:val="0"/>
          <w:bCs w:val="0"/>
          <w:sz w:val="24"/>
          <w:szCs w:val="24"/>
          <w:lang w:val="en-US" w:eastAsia="zh-CN"/>
        </w:rPr>
        <w:t>发布项国家计量技术规范意见的函，形成报审稿。</w:t>
      </w:r>
    </w:p>
    <w:p w14:paraId="208B9E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b w:val="0"/>
          <w:bCs w:val="0"/>
          <w:sz w:val="24"/>
          <w:szCs w:val="24"/>
          <w:lang w:val="en-US" w:eastAsia="zh-CN"/>
        </w:rPr>
      </w:pPr>
      <w:r>
        <w:rPr>
          <w:rFonts w:hint="eastAsia"/>
          <w:b w:val="0"/>
          <w:bCs w:val="0"/>
          <w:sz w:val="24"/>
          <w:szCs w:val="24"/>
          <w:lang w:val="en-US" w:eastAsia="zh-CN"/>
        </w:rPr>
        <w:t>2026年2月，进行厂家测试，形成征求意见稿。</w:t>
      </w:r>
    </w:p>
    <w:p w14:paraId="0A84A2D8">
      <w:pPr>
        <w:widowControl/>
        <w:spacing w:line="440" w:lineRule="exact"/>
        <w:rPr>
          <w:rFonts w:hint="default" w:eastAsia="黑体"/>
          <w:kern w:val="0"/>
          <w:sz w:val="28"/>
          <w:szCs w:val="28"/>
          <w:lang w:val="en-US" w:eastAsia="zh-CN"/>
        </w:rPr>
      </w:pPr>
      <w:r>
        <w:rPr>
          <w:rFonts w:hint="eastAsia" w:eastAsia="黑体"/>
          <w:kern w:val="0"/>
          <w:sz w:val="28"/>
          <w:szCs w:val="28"/>
          <w:lang w:val="en-US" w:eastAsia="zh-CN"/>
        </w:rPr>
        <w:t xml:space="preserve">1.4  </w:t>
      </w:r>
      <w:r>
        <w:rPr>
          <w:rFonts w:hint="eastAsia" w:eastAsia="黑体"/>
          <w:kern w:val="0"/>
          <w:sz w:val="28"/>
          <w:szCs w:val="28"/>
        </w:rPr>
        <w:t>主要</w:t>
      </w:r>
      <w:r>
        <w:rPr>
          <w:rFonts w:eastAsia="黑体"/>
          <w:kern w:val="0"/>
          <w:sz w:val="28"/>
          <w:szCs w:val="28"/>
        </w:rPr>
        <w:t>参加单位</w:t>
      </w:r>
      <w:r>
        <w:rPr>
          <w:rFonts w:hint="eastAsia" w:eastAsia="黑体"/>
          <w:kern w:val="0"/>
          <w:sz w:val="28"/>
          <w:szCs w:val="28"/>
        </w:rPr>
        <w:t>和</w:t>
      </w:r>
      <w:r>
        <w:rPr>
          <w:rFonts w:eastAsia="黑体"/>
          <w:kern w:val="0"/>
          <w:sz w:val="28"/>
          <w:szCs w:val="28"/>
        </w:rPr>
        <w:t>工作组成员</w:t>
      </w:r>
      <w:r>
        <w:rPr>
          <w:rFonts w:hint="eastAsia" w:eastAsia="黑体"/>
          <w:kern w:val="0"/>
          <w:sz w:val="28"/>
          <w:szCs w:val="28"/>
          <w:lang w:val="en-US" w:eastAsia="zh-CN"/>
        </w:rPr>
        <w:t>及分工</w:t>
      </w:r>
    </w:p>
    <w:p w14:paraId="5A4DAD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sz w:val="24"/>
          <w:szCs w:val="24"/>
          <w:lang w:val="en-US" w:eastAsia="zh-CN"/>
        </w:rPr>
      </w:pPr>
      <w:r>
        <w:rPr>
          <w:rFonts w:hint="eastAsia"/>
          <w:b w:val="0"/>
          <w:bCs w:val="0"/>
          <w:sz w:val="24"/>
          <w:szCs w:val="24"/>
          <w:lang w:val="en-US" w:eastAsia="zh-CN"/>
        </w:rPr>
        <w:t>本次起草组由辽宁省计量科学研究院、中国计量科学研究院。辽宁省计量科学研究院主要进行整体起草工作的规划、文本的编制、材料的整理以及校准方法研究；中国计量科学研究院主要进行标准物质的研发；</w:t>
      </w:r>
    </w:p>
    <w:p w14:paraId="748FEA2D">
      <w:pPr>
        <w:widowControl/>
        <w:spacing w:line="440" w:lineRule="exact"/>
        <w:rPr>
          <w:rFonts w:hint="eastAsia" w:eastAsia="黑体"/>
          <w:kern w:val="0"/>
          <w:sz w:val="28"/>
          <w:szCs w:val="28"/>
          <w:lang w:val="en-US" w:eastAsia="zh-CN"/>
        </w:rPr>
      </w:pPr>
      <w:r>
        <w:rPr>
          <w:rFonts w:hint="eastAsia" w:eastAsia="黑体"/>
          <w:kern w:val="0"/>
          <w:sz w:val="28"/>
          <w:szCs w:val="28"/>
          <w:lang w:val="en-US" w:eastAsia="zh-CN"/>
        </w:rPr>
        <w:t>1.5  与相关国际技术文件的一致性程度、与国家标准的兼容情况</w:t>
      </w:r>
    </w:p>
    <w:p w14:paraId="439B7244">
      <w:pPr>
        <w:keepNext w:val="0"/>
        <w:keepLines w:val="0"/>
        <w:pageBreakBefore w:val="0"/>
        <w:widowControl/>
        <w:tabs>
          <w:tab w:val="center" w:pos="4153"/>
        </w:tabs>
        <w:kinsoku/>
        <w:wordWrap/>
        <w:overflowPunct/>
        <w:topLinePunct w:val="0"/>
        <w:autoSpaceDE/>
        <w:autoSpaceDN/>
        <w:bidi w:val="0"/>
        <w:adjustRightInd/>
        <w:snapToGrid/>
        <w:spacing w:line="360" w:lineRule="auto"/>
        <w:ind w:firstLine="480" w:firstLineChars="200"/>
        <w:jc w:val="left"/>
        <w:textAlignment w:val="auto"/>
        <w:rPr>
          <w:rFonts w:hint="default" w:eastAsia="黑体"/>
          <w:kern w:val="0"/>
          <w:sz w:val="28"/>
          <w:szCs w:val="28"/>
          <w:lang w:val="en-US" w:eastAsia="zh-CN"/>
        </w:rPr>
      </w:pPr>
      <w:r>
        <w:rPr>
          <w:rFonts w:hint="eastAsia"/>
          <w:sz w:val="24"/>
          <w:szCs w:val="24"/>
          <w:lang w:val="en-US" w:eastAsia="zh-CN"/>
        </w:rPr>
        <w:t>与美国标准ASTM D4530和国家标准GB/T17144-2021方法兼容，取样量、使用方法相同，但以上标准方法没有对计量特性的描述，该部分在本规范中有显示。</w:t>
      </w:r>
    </w:p>
    <w:p w14:paraId="3A8B55FA">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Chars="0"/>
        <w:textAlignment w:val="auto"/>
        <w:rPr>
          <w:rFonts w:hint="eastAsia" w:eastAsia="黑体"/>
          <w:sz w:val="28"/>
          <w:szCs w:val="28"/>
        </w:rPr>
      </w:pPr>
      <w:r>
        <w:rPr>
          <w:rFonts w:hint="eastAsia" w:eastAsia="黑体"/>
          <w:sz w:val="28"/>
          <w:szCs w:val="28"/>
          <w:lang w:val="en-US" w:eastAsia="zh-CN"/>
        </w:rPr>
        <w:t xml:space="preserve">2  </w:t>
      </w:r>
      <w:r>
        <w:rPr>
          <w:rFonts w:hint="eastAsia" w:eastAsia="黑体"/>
          <w:sz w:val="28"/>
          <w:szCs w:val="28"/>
          <w:lang w:eastAsia="zh-CN"/>
        </w:rPr>
        <w:t>规范的</w:t>
      </w:r>
      <w:r>
        <w:rPr>
          <w:rFonts w:hint="eastAsia" w:eastAsia="黑体"/>
          <w:sz w:val="28"/>
          <w:szCs w:val="28"/>
        </w:rPr>
        <w:t>编</w:t>
      </w:r>
      <w:r>
        <w:rPr>
          <w:rFonts w:hint="eastAsia" w:eastAsia="黑体"/>
          <w:sz w:val="28"/>
          <w:szCs w:val="28"/>
          <w:lang w:eastAsia="zh-CN"/>
        </w:rPr>
        <w:t>制</w:t>
      </w:r>
      <w:r>
        <w:rPr>
          <w:rFonts w:eastAsia="黑体"/>
          <w:sz w:val="28"/>
          <w:szCs w:val="28"/>
        </w:rPr>
        <w:t>原则</w:t>
      </w:r>
      <w:r>
        <w:rPr>
          <w:rFonts w:hint="eastAsia" w:eastAsia="黑体"/>
          <w:sz w:val="28"/>
          <w:szCs w:val="28"/>
        </w:rPr>
        <w:t>和</w:t>
      </w:r>
      <w:r>
        <w:rPr>
          <w:rFonts w:eastAsia="黑体"/>
          <w:sz w:val="28"/>
          <w:szCs w:val="28"/>
        </w:rPr>
        <w:t>主要内容</w:t>
      </w:r>
    </w:p>
    <w:p w14:paraId="0CCAA302">
      <w:pPr>
        <w:widowControl/>
        <w:spacing w:line="440" w:lineRule="exact"/>
        <w:jc w:val="left"/>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2.1 规范的编制原则</w:t>
      </w:r>
    </w:p>
    <w:p w14:paraId="2336B6AC">
      <w:pPr>
        <w:autoSpaceDE w:val="0"/>
        <w:autoSpaceDN w:val="0"/>
        <w:adjustRightInd w:val="0"/>
        <w:spacing w:line="500" w:lineRule="exact"/>
        <w:rPr>
          <w:rFonts w:hint="eastAsia" w:ascii="宋体" w:eastAsia="宋体" w:cs="宋体"/>
          <w:color w:val="000000"/>
          <w:kern w:val="0"/>
          <w:sz w:val="24"/>
          <w:lang w:val="en-US" w:eastAsia="zh-CN"/>
        </w:rPr>
      </w:pPr>
      <w:r>
        <w:rPr>
          <w:rFonts w:hint="eastAsia" w:ascii="宋体" w:cs="宋体"/>
          <w:color w:val="000000"/>
          <w:kern w:val="0"/>
          <w:sz w:val="24"/>
          <w:lang w:val="en-US" w:eastAsia="zh-CN"/>
        </w:rPr>
        <w:t>编制规范的文件：</w:t>
      </w:r>
    </w:p>
    <w:p w14:paraId="11EFCDCF">
      <w:pPr>
        <w:autoSpaceDE w:val="0"/>
        <w:autoSpaceDN w:val="0"/>
        <w:adjustRightInd w:val="0"/>
        <w:spacing w:line="500" w:lineRule="exact"/>
        <w:ind w:firstLine="460" w:firstLineChars="192"/>
        <w:rPr>
          <w:rFonts w:ascii="宋体" w:cs="宋体"/>
          <w:color w:val="000000"/>
          <w:kern w:val="0"/>
          <w:sz w:val="24"/>
        </w:rPr>
      </w:pPr>
      <w:r>
        <w:rPr>
          <w:rFonts w:hint="eastAsia" w:ascii="宋体" w:cs="宋体"/>
          <w:color w:val="000000"/>
          <w:kern w:val="0"/>
          <w:sz w:val="24"/>
        </w:rPr>
        <w:t>JJF1071-2010《国家计量校准规范编写规则》</w:t>
      </w:r>
    </w:p>
    <w:p w14:paraId="1A1417BE">
      <w:pPr>
        <w:autoSpaceDE w:val="0"/>
        <w:autoSpaceDN w:val="0"/>
        <w:adjustRightInd w:val="0"/>
        <w:spacing w:line="500" w:lineRule="exact"/>
        <w:ind w:firstLine="460" w:firstLineChars="192"/>
        <w:rPr>
          <w:rFonts w:hint="eastAsia" w:ascii="宋体" w:cs="宋体"/>
          <w:color w:val="000000"/>
          <w:kern w:val="0"/>
          <w:sz w:val="24"/>
        </w:rPr>
      </w:pPr>
      <w:r>
        <w:rPr>
          <w:rFonts w:hint="eastAsia" w:ascii="宋体" w:cs="宋体"/>
          <w:color w:val="000000"/>
          <w:kern w:val="0"/>
          <w:sz w:val="24"/>
        </w:rPr>
        <w:t>JJF</w:t>
      </w:r>
      <w:r>
        <w:rPr>
          <w:rFonts w:ascii="宋体" w:cs="宋体"/>
          <w:color w:val="000000"/>
          <w:kern w:val="0"/>
          <w:sz w:val="24"/>
        </w:rPr>
        <w:t>1001-2018</w:t>
      </w:r>
      <w:r>
        <w:rPr>
          <w:rFonts w:hint="eastAsia" w:ascii="宋体" w:cs="宋体"/>
          <w:color w:val="000000"/>
          <w:kern w:val="0"/>
          <w:sz w:val="24"/>
        </w:rPr>
        <w:t>《通用计量术语</w:t>
      </w:r>
      <w:r>
        <w:rPr>
          <w:rFonts w:ascii="宋体" w:cs="宋体"/>
          <w:color w:val="000000"/>
          <w:kern w:val="0"/>
          <w:sz w:val="24"/>
        </w:rPr>
        <w:t>及定义</w:t>
      </w:r>
      <w:r>
        <w:rPr>
          <w:rFonts w:hint="eastAsia" w:ascii="宋体" w:cs="宋体"/>
          <w:color w:val="000000"/>
          <w:kern w:val="0"/>
          <w:sz w:val="24"/>
        </w:rPr>
        <w:t>》</w:t>
      </w:r>
    </w:p>
    <w:p w14:paraId="2149DFEC">
      <w:pPr>
        <w:autoSpaceDE w:val="0"/>
        <w:autoSpaceDN w:val="0"/>
        <w:adjustRightInd w:val="0"/>
        <w:spacing w:line="500" w:lineRule="exact"/>
        <w:ind w:firstLine="460" w:firstLineChars="192"/>
        <w:rPr>
          <w:rFonts w:hint="eastAsia" w:ascii="宋体" w:cs="宋体"/>
          <w:color w:val="000000"/>
          <w:kern w:val="0"/>
          <w:sz w:val="24"/>
        </w:rPr>
      </w:pPr>
      <w:r>
        <w:rPr>
          <w:rFonts w:hint="eastAsia" w:ascii="宋体" w:cs="宋体"/>
          <w:color w:val="000000"/>
          <w:kern w:val="0"/>
          <w:sz w:val="24"/>
        </w:rPr>
        <w:t>JJF</w:t>
      </w:r>
      <w:r>
        <w:rPr>
          <w:rFonts w:ascii="宋体" w:cs="宋体"/>
          <w:color w:val="000000"/>
          <w:kern w:val="0"/>
          <w:sz w:val="24"/>
        </w:rPr>
        <w:t>1059.1-2012</w:t>
      </w:r>
      <w:r>
        <w:rPr>
          <w:rFonts w:hint="eastAsia" w:ascii="宋体" w:cs="宋体"/>
          <w:color w:val="000000"/>
          <w:kern w:val="0"/>
          <w:sz w:val="24"/>
        </w:rPr>
        <w:t>《测量</w:t>
      </w:r>
      <w:r>
        <w:rPr>
          <w:rFonts w:ascii="宋体" w:cs="宋体"/>
          <w:color w:val="000000"/>
          <w:kern w:val="0"/>
          <w:sz w:val="24"/>
        </w:rPr>
        <w:t>不确定度评定与表示</w:t>
      </w:r>
      <w:r>
        <w:rPr>
          <w:rFonts w:hint="eastAsia" w:ascii="宋体" w:cs="宋体"/>
          <w:color w:val="000000"/>
          <w:kern w:val="0"/>
          <w:sz w:val="24"/>
        </w:rPr>
        <w:t>》</w:t>
      </w:r>
    </w:p>
    <w:p w14:paraId="5FDB2F83">
      <w:pPr>
        <w:widowControl/>
        <w:spacing w:line="440" w:lineRule="exact"/>
        <w:jc w:val="left"/>
        <w:rPr>
          <w:rFonts w:hint="eastAsia"/>
          <w:sz w:val="24"/>
          <w:szCs w:val="24"/>
          <w:lang w:val="en-US" w:eastAsia="zh-CN"/>
        </w:rPr>
      </w:pPr>
      <w:r>
        <w:rPr>
          <w:rFonts w:hint="eastAsia"/>
          <w:sz w:val="24"/>
          <w:szCs w:val="24"/>
          <w:lang w:val="en-US" w:eastAsia="zh-CN"/>
        </w:rPr>
        <w:t>在进行充分市场调研的基础上，对标准物质和校准方法进行研究，广泛征集市场上在售仪器厂家的实验数据，依据编制规范的文件进行规范的编制。</w:t>
      </w:r>
    </w:p>
    <w:p w14:paraId="74195164">
      <w:pPr>
        <w:widowControl/>
        <w:spacing w:line="440" w:lineRule="exact"/>
        <w:jc w:val="left"/>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2.2 规范的主要内容</w:t>
      </w:r>
    </w:p>
    <w:p w14:paraId="218715BE">
      <w:pPr>
        <w:autoSpaceDE w:val="0"/>
        <w:autoSpaceDN w:val="0"/>
        <w:adjustRightInd w:val="0"/>
        <w:spacing w:line="500" w:lineRule="exact"/>
        <w:ind w:firstLine="460" w:firstLineChars="192"/>
        <w:rPr>
          <w:rFonts w:hint="eastAsia" w:ascii="宋体" w:cs="宋体"/>
          <w:color w:val="000000"/>
          <w:kern w:val="0"/>
          <w:sz w:val="24"/>
          <w:lang w:val="en-US" w:eastAsia="zh-CN"/>
        </w:rPr>
      </w:pPr>
      <w:r>
        <w:rPr>
          <w:rFonts w:hint="eastAsia" w:ascii="宋体" w:cs="宋体"/>
          <w:color w:val="000000"/>
          <w:kern w:val="0"/>
          <w:sz w:val="24"/>
          <w:lang w:val="en-US" w:eastAsia="zh-CN"/>
        </w:rPr>
        <w:t>本规范的主要包括以下：</w:t>
      </w:r>
    </w:p>
    <w:p w14:paraId="127AF7C4">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fldChar w:fldCharType="begin"/>
      </w:r>
      <w:r>
        <w:rPr>
          <w:rFonts w:hint="eastAsia" w:ascii="宋体" w:hAnsi="宋体" w:eastAsia="宋体" w:cs="宋体"/>
          <w:kern w:val="2"/>
          <w:sz w:val="24"/>
          <w:szCs w:val="24"/>
          <w:lang w:val="en-US" w:eastAsia="zh-CN" w:bidi="ar-SA"/>
        </w:rPr>
        <w:instrText xml:space="preserve"> HYPERLINK \l _Toc3636 </w:instrText>
      </w:r>
      <w:r>
        <w:rPr>
          <w:rFonts w:hint="eastAsia" w:ascii="宋体" w:hAnsi="宋体" w:eastAsia="宋体" w:cs="宋体"/>
          <w:kern w:val="2"/>
          <w:sz w:val="24"/>
          <w:szCs w:val="24"/>
          <w:lang w:val="en-US" w:eastAsia="zh-CN" w:bidi="ar-SA"/>
        </w:rPr>
        <w:fldChar w:fldCharType="separate"/>
      </w:r>
      <w:r>
        <w:rPr>
          <w:rFonts w:hint="eastAsia" w:ascii="宋体" w:hAnsi="宋体" w:eastAsia="宋体" w:cs="宋体"/>
          <w:sz w:val="24"/>
          <w:szCs w:val="24"/>
        </w:rPr>
        <w:t>1  范围</w:t>
      </w:r>
      <w:r>
        <w:rPr>
          <w:rFonts w:hint="eastAsia" w:ascii="宋体" w:hAnsi="宋体" w:eastAsia="宋体" w:cs="宋体"/>
          <w:kern w:val="2"/>
          <w:sz w:val="24"/>
          <w:szCs w:val="24"/>
          <w:lang w:val="en-US" w:eastAsia="zh-CN" w:bidi="ar-SA"/>
        </w:rPr>
        <w:fldChar w:fldCharType="end"/>
      </w:r>
    </w:p>
    <w:p w14:paraId="2A61766E">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fldChar w:fldCharType="begin"/>
      </w:r>
      <w:r>
        <w:rPr>
          <w:rFonts w:hint="eastAsia" w:ascii="宋体" w:hAnsi="宋体" w:eastAsia="宋体" w:cs="宋体"/>
          <w:kern w:val="2"/>
          <w:sz w:val="24"/>
          <w:szCs w:val="24"/>
          <w:lang w:val="en-US" w:eastAsia="zh-CN" w:bidi="ar-SA"/>
        </w:rPr>
        <w:instrText xml:space="preserve"> HYPERLINK \l _Toc5808 </w:instrText>
      </w:r>
      <w:r>
        <w:rPr>
          <w:rFonts w:hint="eastAsia" w:ascii="宋体" w:hAnsi="宋体" w:eastAsia="宋体" w:cs="宋体"/>
          <w:kern w:val="2"/>
          <w:sz w:val="24"/>
          <w:szCs w:val="24"/>
          <w:lang w:val="en-US" w:eastAsia="zh-CN" w:bidi="ar-SA"/>
        </w:rPr>
        <w:fldChar w:fldCharType="separate"/>
      </w:r>
      <w:r>
        <w:rPr>
          <w:rFonts w:hint="eastAsia" w:ascii="宋体" w:hAnsi="宋体" w:eastAsia="宋体" w:cs="宋体"/>
          <w:sz w:val="24"/>
          <w:szCs w:val="24"/>
        </w:rPr>
        <w:t>2  引用文件</w:t>
      </w:r>
      <w:r>
        <w:rPr>
          <w:rFonts w:hint="eastAsia" w:ascii="宋体" w:hAnsi="宋体" w:eastAsia="宋体" w:cs="宋体"/>
          <w:kern w:val="2"/>
          <w:sz w:val="24"/>
          <w:szCs w:val="24"/>
          <w:lang w:val="en-US" w:eastAsia="zh-CN" w:bidi="ar-SA"/>
        </w:rPr>
        <w:fldChar w:fldCharType="end"/>
      </w:r>
    </w:p>
    <w:p w14:paraId="65557997">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fldChar w:fldCharType="begin"/>
      </w:r>
      <w:r>
        <w:rPr>
          <w:rFonts w:hint="eastAsia" w:ascii="宋体" w:hAnsi="宋体" w:eastAsia="宋体" w:cs="宋体"/>
          <w:kern w:val="2"/>
          <w:sz w:val="24"/>
          <w:szCs w:val="24"/>
          <w:lang w:val="en-US" w:eastAsia="zh-CN" w:bidi="ar-SA"/>
        </w:rPr>
        <w:instrText xml:space="preserve"> HYPERLINK \l _Toc7397 </w:instrText>
      </w:r>
      <w:r>
        <w:rPr>
          <w:rFonts w:hint="eastAsia" w:ascii="宋体" w:hAnsi="宋体" w:eastAsia="宋体" w:cs="宋体"/>
          <w:kern w:val="2"/>
          <w:sz w:val="24"/>
          <w:szCs w:val="24"/>
          <w:lang w:val="en-US" w:eastAsia="zh-CN" w:bidi="ar-SA"/>
        </w:rPr>
        <w:fldChar w:fldCharType="separate"/>
      </w:r>
      <w:r>
        <w:rPr>
          <w:rFonts w:hint="eastAsia" w:ascii="宋体" w:hAnsi="宋体" w:eastAsia="宋体" w:cs="宋体"/>
          <w:sz w:val="24"/>
          <w:szCs w:val="24"/>
        </w:rPr>
        <w:t>3  术语</w:t>
      </w:r>
      <w:r>
        <w:rPr>
          <w:rFonts w:hint="eastAsia" w:ascii="宋体" w:hAnsi="宋体" w:eastAsia="宋体" w:cs="宋体"/>
          <w:kern w:val="2"/>
          <w:sz w:val="24"/>
          <w:szCs w:val="24"/>
          <w:lang w:val="en-US" w:eastAsia="zh-CN" w:bidi="ar-SA"/>
        </w:rPr>
        <w:fldChar w:fldCharType="end"/>
      </w:r>
    </w:p>
    <w:p w14:paraId="37600278">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fldChar w:fldCharType="begin"/>
      </w:r>
      <w:r>
        <w:rPr>
          <w:rFonts w:hint="eastAsia" w:ascii="宋体" w:hAnsi="宋体" w:eastAsia="宋体" w:cs="宋体"/>
          <w:kern w:val="2"/>
          <w:sz w:val="24"/>
          <w:szCs w:val="24"/>
          <w:lang w:val="en-US" w:eastAsia="zh-CN" w:bidi="ar-SA"/>
        </w:rPr>
        <w:instrText xml:space="preserve"> HYPERLINK \l _Toc15932 </w:instrText>
      </w:r>
      <w:r>
        <w:rPr>
          <w:rFonts w:hint="eastAsia" w:ascii="宋体" w:hAnsi="宋体" w:eastAsia="宋体" w:cs="宋体"/>
          <w:kern w:val="2"/>
          <w:sz w:val="24"/>
          <w:szCs w:val="24"/>
          <w:lang w:val="en-US" w:eastAsia="zh-CN" w:bidi="ar-SA"/>
        </w:rPr>
        <w:fldChar w:fldCharType="separate"/>
      </w:r>
      <w:r>
        <w:rPr>
          <w:rFonts w:hint="eastAsia" w:ascii="宋体" w:hAnsi="宋体" w:eastAsia="宋体" w:cs="宋体"/>
          <w:sz w:val="24"/>
          <w:szCs w:val="24"/>
        </w:rPr>
        <w:t>4  概述</w:t>
      </w:r>
      <w:r>
        <w:rPr>
          <w:rFonts w:hint="eastAsia" w:ascii="宋体" w:hAnsi="宋体" w:eastAsia="宋体" w:cs="宋体"/>
          <w:kern w:val="2"/>
          <w:sz w:val="24"/>
          <w:szCs w:val="24"/>
          <w:lang w:val="en-US" w:eastAsia="zh-CN" w:bidi="ar-SA"/>
        </w:rPr>
        <w:fldChar w:fldCharType="end"/>
      </w:r>
    </w:p>
    <w:p w14:paraId="5D604558">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fldChar w:fldCharType="begin"/>
      </w:r>
      <w:r>
        <w:rPr>
          <w:rFonts w:hint="eastAsia" w:ascii="宋体" w:hAnsi="宋体" w:eastAsia="宋体" w:cs="宋体"/>
          <w:kern w:val="2"/>
          <w:sz w:val="24"/>
          <w:szCs w:val="24"/>
          <w:lang w:val="en-US" w:eastAsia="zh-CN" w:bidi="ar-SA"/>
        </w:rPr>
        <w:instrText xml:space="preserve"> HYPERLINK \l _Toc17791 </w:instrText>
      </w:r>
      <w:r>
        <w:rPr>
          <w:rFonts w:hint="eastAsia" w:ascii="宋体" w:hAnsi="宋体" w:eastAsia="宋体" w:cs="宋体"/>
          <w:kern w:val="2"/>
          <w:sz w:val="24"/>
          <w:szCs w:val="24"/>
          <w:lang w:val="en-US" w:eastAsia="zh-CN" w:bidi="ar-SA"/>
        </w:rPr>
        <w:fldChar w:fldCharType="separate"/>
      </w:r>
      <w:r>
        <w:rPr>
          <w:rFonts w:hint="eastAsia" w:ascii="宋体" w:hAnsi="宋体" w:eastAsia="宋体" w:cs="宋体"/>
          <w:sz w:val="24"/>
          <w:szCs w:val="24"/>
        </w:rPr>
        <w:t>5  计量特性</w:t>
      </w:r>
      <w:r>
        <w:rPr>
          <w:rFonts w:hint="eastAsia" w:ascii="宋体" w:hAnsi="宋体" w:eastAsia="宋体" w:cs="宋体"/>
          <w:kern w:val="2"/>
          <w:sz w:val="24"/>
          <w:szCs w:val="24"/>
          <w:lang w:val="en-US" w:eastAsia="zh-CN" w:bidi="ar-SA"/>
        </w:rPr>
        <w:fldChar w:fldCharType="end"/>
      </w:r>
    </w:p>
    <w:p w14:paraId="596B57C2">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fldChar w:fldCharType="begin"/>
      </w:r>
      <w:r>
        <w:rPr>
          <w:rFonts w:hint="eastAsia" w:ascii="宋体" w:hAnsi="宋体" w:eastAsia="宋体" w:cs="宋体"/>
          <w:kern w:val="2"/>
          <w:sz w:val="24"/>
          <w:szCs w:val="24"/>
          <w:lang w:val="en-US" w:eastAsia="zh-CN" w:bidi="ar-SA"/>
        </w:rPr>
        <w:instrText xml:space="preserve"> HYPERLINK \l _Toc6224 </w:instrText>
      </w:r>
      <w:r>
        <w:rPr>
          <w:rFonts w:hint="eastAsia" w:ascii="宋体" w:hAnsi="宋体" w:eastAsia="宋体" w:cs="宋体"/>
          <w:kern w:val="2"/>
          <w:sz w:val="24"/>
          <w:szCs w:val="24"/>
          <w:lang w:val="en-US" w:eastAsia="zh-CN" w:bidi="ar-SA"/>
        </w:rPr>
        <w:fldChar w:fldCharType="separate"/>
      </w:r>
      <w:r>
        <w:rPr>
          <w:rFonts w:hint="eastAsia" w:ascii="宋体" w:hAnsi="宋体" w:eastAsia="宋体" w:cs="宋体"/>
          <w:sz w:val="24"/>
          <w:szCs w:val="24"/>
        </w:rPr>
        <w:t>6  校准条件</w:t>
      </w:r>
      <w:r>
        <w:rPr>
          <w:rFonts w:hint="eastAsia" w:ascii="宋体" w:hAnsi="宋体" w:eastAsia="宋体" w:cs="宋体"/>
          <w:kern w:val="2"/>
          <w:sz w:val="24"/>
          <w:szCs w:val="24"/>
          <w:lang w:val="en-US" w:eastAsia="zh-CN" w:bidi="ar-SA"/>
        </w:rPr>
        <w:fldChar w:fldCharType="end"/>
      </w:r>
    </w:p>
    <w:p w14:paraId="7A365F72">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fldChar w:fldCharType="begin"/>
      </w:r>
      <w:r>
        <w:rPr>
          <w:rFonts w:hint="eastAsia" w:ascii="宋体" w:hAnsi="宋体" w:eastAsia="宋体" w:cs="宋体"/>
          <w:kern w:val="2"/>
          <w:sz w:val="24"/>
          <w:szCs w:val="24"/>
          <w:lang w:val="en-US" w:eastAsia="zh-CN" w:bidi="ar-SA"/>
        </w:rPr>
        <w:instrText xml:space="preserve"> HYPERLINK \l _Toc9924 </w:instrText>
      </w:r>
      <w:r>
        <w:rPr>
          <w:rFonts w:hint="eastAsia" w:ascii="宋体" w:hAnsi="宋体" w:eastAsia="宋体" w:cs="宋体"/>
          <w:kern w:val="2"/>
          <w:sz w:val="24"/>
          <w:szCs w:val="24"/>
          <w:lang w:val="en-US" w:eastAsia="zh-CN" w:bidi="ar-SA"/>
        </w:rPr>
        <w:fldChar w:fldCharType="separate"/>
      </w:r>
      <w:r>
        <w:rPr>
          <w:rFonts w:hint="eastAsia" w:ascii="宋体" w:hAnsi="宋体" w:eastAsia="宋体" w:cs="宋体"/>
          <w:sz w:val="24"/>
          <w:szCs w:val="24"/>
        </w:rPr>
        <w:t>7  校准项目和校准方法</w:t>
      </w:r>
      <w:r>
        <w:rPr>
          <w:rFonts w:hint="eastAsia" w:ascii="宋体" w:hAnsi="宋体" w:eastAsia="宋体" w:cs="宋体"/>
          <w:kern w:val="2"/>
          <w:sz w:val="24"/>
          <w:szCs w:val="24"/>
          <w:lang w:val="en-US" w:eastAsia="zh-CN" w:bidi="ar-SA"/>
        </w:rPr>
        <w:fldChar w:fldCharType="end"/>
      </w:r>
    </w:p>
    <w:p w14:paraId="04575C91">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fldChar w:fldCharType="begin"/>
      </w:r>
      <w:r>
        <w:rPr>
          <w:rFonts w:hint="eastAsia" w:ascii="宋体" w:hAnsi="宋体" w:eastAsia="宋体" w:cs="宋体"/>
          <w:kern w:val="2"/>
          <w:sz w:val="24"/>
          <w:szCs w:val="24"/>
          <w:lang w:val="en-US" w:eastAsia="zh-CN" w:bidi="ar-SA"/>
        </w:rPr>
        <w:instrText xml:space="preserve"> HYPERLINK \l _Toc25762 </w:instrText>
      </w:r>
      <w:r>
        <w:rPr>
          <w:rFonts w:hint="eastAsia" w:ascii="宋体" w:hAnsi="宋体" w:eastAsia="宋体" w:cs="宋体"/>
          <w:kern w:val="2"/>
          <w:sz w:val="24"/>
          <w:szCs w:val="24"/>
          <w:lang w:val="en-US" w:eastAsia="zh-CN" w:bidi="ar-SA"/>
        </w:rPr>
        <w:fldChar w:fldCharType="separate"/>
      </w:r>
      <w:r>
        <w:rPr>
          <w:rFonts w:hint="eastAsia" w:ascii="宋体" w:hAnsi="宋体" w:eastAsia="宋体" w:cs="宋体"/>
          <w:sz w:val="24"/>
          <w:szCs w:val="24"/>
        </w:rPr>
        <w:t>8  校准结果表达</w:t>
      </w:r>
      <w:r>
        <w:rPr>
          <w:rFonts w:hint="eastAsia" w:ascii="宋体" w:hAnsi="宋体" w:eastAsia="宋体" w:cs="宋体"/>
          <w:kern w:val="2"/>
          <w:sz w:val="24"/>
          <w:szCs w:val="24"/>
          <w:lang w:val="en-US" w:eastAsia="zh-CN" w:bidi="ar-SA"/>
        </w:rPr>
        <w:fldChar w:fldCharType="end"/>
      </w:r>
    </w:p>
    <w:p w14:paraId="0EC51157">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fldChar w:fldCharType="begin"/>
      </w:r>
      <w:r>
        <w:rPr>
          <w:rFonts w:hint="eastAsia" w:ascii="宋体" w:hAnsi="宋体" w:eastAsia="宋体" w:cs="宋体"/>
          <w:kern w:val="2"/>
          <w:sz w:val="24"/>
          <w:szCs w:val="24"/>
          <w:lang w:val="en-US" w:eastAsia="zh-CN" w:bidi="ar-SA"/>
        </w:rPr>
        <w:instrText xml:space="preserve"> HYPERLINK \l _Toc13701 </w:instrText>
      </w:r>
      <w:r>
        <w:rPr>
          <w:rFonts w:hint="eastAsia" w:ascii="宋体" w:hAnsi="宋体" w:eastAsia="宋体" w:cs="宋体"/>
          <w:kern w:val="2"/>
          <w:sz w:val="24"/>
          <w:szCs w:val="24"/>
          <w:lang w:val="en-US" w:eastAsia="zh-CN" w:bidi="ar-SA"/>
        </w:rPr>
        <w:fldChar w:fldCharType="separate"/>
      </w:r>
      <w:r>
        <w:rPr>
          <w:rFonts w:hint="eastAsia" w:ascii="宋体" w:hAnsi="宋体" w:eastAsia="宋体" w:cs="宋体"/>
          <w:sz w:val="24"/>
          <w:szCs w:val="24"/>
        </w:rPr>
        <w:t>9  复校时间间隔</w:t>
      </w:r>
      <w:r>
        <w:rPr>
          <w:rFonts w:hint="eastAsia" w:ascii="宋体" w:hAnsi="宋体" w:eastAsia="宋体" w:cs="宋体"/>
          <w:kern w:val="2"/>
          <w:sz w:val="24"/>
          <w:szCs w:val="24"/>
          <w:lang w:val="en-US" w:eastAsia="zh-CN" w:bidi="ar-SA"/>
        </w:rPr>
        <w:fldChar w:fldCharType="end"/>
      </w:r>
    </w:p>
    <w:p w14:paraId="2A7A56DB">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附录A微量法残炭测定仪</w:t>
      </w:r>
      <w:r>
        <w:rPr>
          <w:rFonts w:hint="eastAsia" w:ascii="宋体" w:hAnsi="宋体" w:eastAsia="宋体" w:cs="宋体"/>
          <w:sz w:val="24"/>
          <w:szCs w:val="24"/>
          <w:lang w:eastAsia="zh-CN"/>
        </w:rPr>
        <w:t>箱体温度校准说明</w:t>
      </w:r>
    </w:p>
    <w:p w14:paraId="217D080E">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fldChar w:fldCharType="begin"/>
      </w:r>
      <w:r>
        <w:rPr>
          <w:rFonts w:hint="eastAsia" w:ascii="宋体" w:hAnsi="宋体" w:eastAsia="宋体" w:cs="宋体"/>
          <w:kern w:val="2"/>
          <w:sz w:val="24"/>
          <w:szCs w:val="24"/>
          <w:lang w:val="en-US" w:eastAsia="zh-CN" w:bidi="ar-SA"/>
        </w:rPr>
        <w:instrText xml:space="preserve"> HYPERLINK \l _Toc4310 </w:instrText>
      </w:r>
      <w:r>
        <w:rPr>
          <w:rFonts w:hint="eastAsia" w:ascii="宋体" w:hAnsi="宋体" w:eastAsia="宋体" w:cs="宋体"/>
          <w:kern w:val="2"/>
          <w:sz w:val="24"/>
          <w:szCs w:val="24"/>
          <w:lang w:val="en-US" w:eastAsia="zh-CN" w:bidi="ar-SA"/>
        </w:rPr>
        <w:fldChar w:fldCharType="separate"/>
      </w:r>
      <w:r>
        <w:rPr>
          <w:rFonts w:hint="eastAsia" w:ascii="宋体" w:hAnsi="宋体" w:eastAsia="宋体" w:cs="宋体"/>
          <w:sz w:val="24"/>
          <w:szCs w:val="24"/>
        </w:rPr>
        <w:t>附录</w:t>
      </w:r>
      <w:r>
        <w:rPr>
          <w:rFonts w:hint="eastAsia" w:ascii="宋体" w:hAnsi="宋体" w:cs="宋体"/>
          <w:sz w:val="24"/>
          <w:szCs w:val="24"/>
          <w:lang w:val="en-US" w:eastAsia="zh-CN"/>
        </w:rPr>
        <w:t>B</w:t>
      </w:r>
      <w:r>
        <w:rPr>
          <w:rFonts w:hint="eastAsia" w:ascii="宋体" w:hAnsi="宋体" w:eastAsia="宋体" w:cs="宋体"/>
          <w:sz w:val="24"/>
          <w:szCs w:val="24"/>
        </w:rPr>
        <w:t>微量法残炭测定仪校准原始记录</w:t>
      </w:r>
      <w:r>
        <w:rPr>
          <w:rFonts w:hint="eastAsia" w:ascii="宋体" w:hAnsi="宋体" w:eastAsia="宋体" w:cs="宋体"/>
          <w:kern w:val="2"/>
          <w:sz w:val="24"/>
          <w:szCs w:val="24"/>
          <w:lang w:val="en-US" w:eastAsia="zh-CN" w:bidi="ar-SA"/>
        </w:rPr>
        <w:fldChar w:fldCharType="end"/>
      </w:r>
    </w:p>
    <w:p w14:paraId="6E7082DC">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fldChar w:fldCharType="begin"/>
      </w:r>
      <w:r>
        <w:rPr>
          <w:rFonts w:hint="eastAsia" w:ascii="宋体" w:hAnsi="宋体" w:eastAsia="宋体" w:cs="宋体"/>
          <w:kern w:val="2"/>
          <w:sz w:val="24"/>
          <w:szCs w:val="24"/>
          <w:lang w:val="en-US" w:eastAsia="zh-CN" w:bidi="ar-SA"/>
        </w:rPr>
        <w:instrText xml:space="preserve"> HYPERLINK \l _Toc3236 </w:instrText>
      </w:r>
      <w:r>
        <w:rPr>
          <w:rFonts w:hint="eastAsia" w:ascii="宋体" w:hAnsi="宋体" w:eastAsia="宋体" w:cs="宋体"/>
          <w:kern w:val="2"/>
          <w:sz w:val="24"/>
          <w:szCs w:val="24"/>
          <w:lang w:val="en-US" w:eastAsia="zh-CN" w:bidi="ar-SA"/>
        </w:rPr>
        <w:fldChar w:fldCharType="separate"/>
      </w:r>
      <w:r>
        <w:rPr>
          <w:rFonts w:hint="eastAsia" w:ascii="宋体" w:hAnsi="宋体" w:eastAsia="宋体" w:cs="宋体"/>
          <w:sz w:val="24"/>
          <w:szCs w:val="24"/>
        </w:rPr>
        <w:t>附录</w:t>
      </w:r>
      <w:r>
        <w:rPr>
          <w:rFonts w:hint="eastAsia" w:ascii="宋体" w:hAnsi="宋体" w:cs="宋体"/>
          <w:sz w:val="24"/>
          <w:szCs w:val="24"/>
          <w:lang w:val="en-US" w:eastAsia="zh-CN"/>
        </w:rPr>
        <w:t>C</w:t>
      </w:r>
      <w:r>
        <w:rPr>
          <w:rFonts w:hint="eastAsia" w:ascii="宋体" w:hAnsi="宋体" w:eastAsia="宋体" w:cs="宋体"/>
          <w:sz w:val="24"/>
          <w:szCs w:val="24"/>
        </w:rPr>
        <w:t>微量法残炭测定仪校准证书内页格式</w:t>
      </w:r>
      <w:r>
        <w:rPr>
          <w:rFonts w:hint="eastAsia" w:ascii="宋体" w:hAnsi="宋体" w:eastAsia="宋体" w:cs="宋体"/>
          <w:kern w:val="2"/>
          <w:sz w:val="24"/>
          <w:szCs w:val="24"/>
          <w:lang w:val="en-US" w:eastAsia="zh-CN" w:bidi="ar-SA"/>
        </w:rPr>
        <w:fldChar w:fldCharType="end"/>
      </w:r>
    </w:p>
    <w:p w14:paraId="5131BF94">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fldChar w:fldCharType="begin"/>
      </w:r>
      <w:r>
        <w:rPr>
          <w:rFonts w:hint="eastAsia" w:ascii="宋体" w:hAnsi="宋体" w:eastAsia="宋体" w:cs="宋体"/>
          <w:kern w:val="2"/>
          <w:sz w:val="24"/>
          <w:szCs w:val="24"/>
          <w:lang w:val="en-US" w:eastAsia="zh-CN" w:bidi="ar-SA"/>
        </w:rPr>
        <w:instrText xml:space="preserve"> HYPERLINK \l _Toc18662 </w:instrText>
      </w:r>
      <w:r>
        <w:rPr>
          <w:rFonts w:hint="eastAsia" w:ascii="宋体" w:hAnsi="宋体" w:eastAsia="宋体" w:cs="宋体"/>
          <w:kern w:val="2"/>
          <w:sz w:val="24"/>
          <w:szCs w:val="24"/>
          <w:lang w:val="en-US" w:eastAsia="zh-CN" w:bidi="ar-SA"/>
        </w:rPr>
        <w:fldChar w:fldCharType="separate"/>
      </w:r>
      <w:r>
        <w:rPr>
          <w:rFonts w:hint="eastAsia" w:ascii="宋体" w:hAnsi="宋体" w:eastAsia="宋体" w:cs="宋体"/>
          <w:kern w:val="2"/>
          <w:sz w:val="24"/>
          <w:szCs w:val="24"/>
          <w:lang w:val="en-US" w:eastAsia="zh-CN" w:bidi="ar-SA"/>
        </w:rPr>
        <w:t>附录</w:t>
      </w:r>
      <w:r>
        <w:rPr>
          <w:rFonts w:hint="eastAsia" w:ascii="宋体" w:hAnsi="宋体" w:cs="宋体"/>
          <w:kern w:val="2"/>
          <w:sz w:val="24"/>
          <w:szCs w:val="24"/>
          <w:lang w:val="en-US" w:eastAsia="zh-CN" w:bidi="ar-SA"/>
        </w:rPr>
        <w:t>D</w:t>
      </w:r>
      <w:r>
        <w:rPr>
          <w:rFonts w:hint="eastAsia" w:ascii="宋体" w:hAnsi="宋体" w:eastAsia="宋体" w:cs="宋体"/>
          <w:kern w:val="2"/>
          <w:sz w:val="24"/>
          <w:szCs w:val="24"/>
          <w:lang w:val="en-US" w:eastAsia="zh-CN" w:bidi="ar-SA"/>
        </w:rPr>
        <w:t>微量法残炭测定仪示值误差校准结果测量不确定度评定示例</w:t>
      </w:r>
      <w:r>
        <w:rPr>
          <w:rFonts w:hint="eastAsia" w:ascii="宋体" w:hAnsi="宋体" w:eastAsia="宋体" w:cs="宋体"/>
          <w:kern w:val="2"/>
          <w:sz w:val="24"/>
          <w:szCs w:val="24"/>
          <w:lang w:val="en-US" w:eastAsia="zh-CN" w:bidi="ar-SA"/>
        </w:rPr>
        <w:fldChar w:fldCharType="end"/>
      </w:r>
    </w:p>
    <w:p w14:paraId="5EEC0DDF">
      <w:pPr>
        <w:autoSpaceDE w:val="0"/>
        <w:autoSpaceDN w:val="0"/>
        <w:adjustRightInd w:val="0"/>
        <w:spacing w:line="500" w:lineRule="exact"/>
        <w:rPr>
          <w:rFonts w:hint="eastAsia" w:ascii="宋体" w:cs="宋体"/>
          <w:color w:val="000000"/>
          <w:kern w:val="0"/>
          <w:sz w:val="24"/>
        </w:rPr>
      </w:pPr>
      <w:r>
        <w:rPr>
          <w:rFonts w:hint="eastAsia" w:ascii="宋体" w:cs="宋体"/>
          <w:color w:val="000000"/>
          <w:kern w:val="0"/>
          <w:sz w:val="24"/>
        </w:rPr>
        <w:tab/>
      </w:r>
      <w:r>
        <w:rPr>
          <w:rFonts w:hint="eastAsia" w:ascii="宋体" w:cs="宋体"/>
          <w:color w:val="000000"/>
          <w:kern w:val="0"/>
          <w:sz w:val="24"/>
        </w:rPr>
        <w:tab/>
      </w:r>
    </w:p>
    <w:p w14:paraId="1E74EE0B">
      <w:pPr>
        <w:spacing w:line="480" w:lineRule="auto"/>
        <w:jc w:val="distribute"/>
        <w:rPr>
          <w:rFonts w:eastAsia="黑体"/>
          <w:b/>
          <w:sz w:val="44"/>
          <w:szCs w:val="44"/>
        </w:rPr>
      </w:pPr>
    </w:p>
    <w:p w14:paraId="3DE68089">
      <w:pPr>
        <w:numPr>
          <w:ilvl w:val="0"/>
          <w:numId w:val="0"/>
        </w:numPr>
        <w:spacing w:line="440" w:lineRule="exact"/>
        <w:ind w:leftChars="0"/>
        <w:rPr>
          <w:sz w:val="28"/>
          <w:szCs w:val="28"/>
        </w:rPr>
      </w:pPr>
      <w:r>
        <w:rPr>
          <w:rFonts w:hint="eastAsia" w:eastAsia="黑体"/>
          <w:sz w:val="28"/>
          <w:szCs w:val="28"/>
          <w:lang w:val="en-US" w:eastAsia="zh-CN"/>
        </w:rPr>
        <w:t xml:space="preserve">3  </w:t>
      </w:r>
      <w:r>
        <w:rPr>
          <w:rFonts w:hint="eastAsia" w:eastAsia="黑体"/>
          <w:sz w:val="28"/>
          <w:szCs w:val="28"/>
        </w:rPr>
        <w:t>主要</w:t>
      </w:r>
      <w:r>
        <w:rPr>
          <w:rFonts w:eastAsia="黑体"/>
          <w:sz w:val="28"/>
          <w:szCs w:val="28"/>
        </w:rPr>
        <w:t>试验</w:t>
      </w:r>
      <w:r>
        <w:rPr>
          <w:rFonts w:hint="eastAsia" w:eastAsia="黑体"/>
          <w:sz w:val="28"/>
          <w:szCs w:val="28"/>
        </w:rPr>
        <w:t>验证</w:t>
      </w:r>
      <w:r>
        <w:rPr>
          <w:rFonts w:eastAsia="黑体"/>
          <w:sz w:val="28"/>
          <w:szCs w:val="28"/>
        </w:rPr>
        <w:t>情况和预期达到的效果</w:t>
      </w:r>
    </w:p>
    <w:p w14:paraId="33820BCB">
      <w:pPr>
        <w:widowControl/>
        <w:spacing w:line="440" w:lineRule="exact"/>
        <w:jc w:val="left"/>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3.1 试验条件</w:t>
      </w:r>
    </w:p>
    <w:p w14:paraId="090B1EF2">
      <w:pPr>
        <w:autoSpaceDE w:val="0"/>
        <w:autoSpaceDN w:val="0"/>
        <w:adjustRightInd w:val="0"/>
        <w:spacing w:line="500" w:lineRule="exact"/>
        <w:ind w:firstLine="460" w:firstLineChars="192"/>
        <w:rPr>
          <w:rFonts w:hint="eastAsia" w:ascii="宋体" w:cs="宋体"/>
          <w:color w:val="000000"/>
          <w:kern w:val="0"/>
          <w:sz w:val="24"/>
        </w:rPr>
      </w:pPr>
      <w:r>
        <w:rPr>
          <w:rFonts w:hint="eastAsia" w:ascii="宋体" w:cs="宋体"/>
          <w:color w:val="000000"/>
          <w:kern w:val="0"/>
          <w:sz w:val="24"/>
        </w:rPr>
        <w:t>选取干燥清洁的玻璃样品管，根据</w:t>
      </w:r>
      <w:r>
        <w:rPr>
          <w:rFonts w:ascii="宋体" w:cs="宋体"/>
          <w:color w:val="000000"/>
          <w:kern w:val="0"/>
          <w:sz w:val="24"/>
        </w:rPr>
        <w:t>样品残炭</w:t>
      </w:r>
      <w:r>
        <w:rPr>
          <w:rFonts w:hint="eastAsia" w:ascii="宋体" w:cs="宋体"/>
          <w:color w:val="000000"/>
          <w:kern w:val="0"/>
          <w:sz w:val="24"/>
        </w:rPr>
        <w:t>值</w:t>
      </w:r>
      <w:r>
        <w:rPr>
          <w:rFonts w:ascii="宋体" w:cs="宋体"/>
          <w:color w:val="000000"/>
          <w:kern w:val="0"/>
          <w:sz w:val="24"/>
        </w:rPr>
        <w:t>大小</w:t>
      </w:r>
      <w:r>
        <w:rPr>
          <w:rFonts w:hint="eastAsia" w:ascii="宋体" w:cs="宋体"/>
          <w:color w:val="000000"/>
          <w:kern w:val="0"/>
          <w:sz w:val="24"/>
        </w:rPr>
        <w:t>选取适当规格</w:t>
      </w:r>
      <w:r>
        <w:rPr>
          <w:rFonts w:ascii="宋体" w:cs="宋体"/>
          <w:color w:val="000000"/>
          <w:kern w:val="0"/>
          <w:sz w:val="24"/>
        </w:rPr>
        <w:t>的</w:t>
      </w:r>
      <w:r>
        <w:rPr>
          <w:rFonts w:hint="eastAsia" w:ascii="宋体" w:cs="宋体"/>
          <w:color w:val="000000"/>
          <w:kern w:val="0"/>
          <w:sz w:val="24"/>
        </w:rPr>
        <w:t>样品管，待玻璃样品瓶置于干燥器内冷却1h后，称量并记录样品瓶质量m</w:t>
      </w:r>
      <w:r>
        <w:rPr>
          <w:rFonts w:ascii="宋体" w:cs="宋体"/>
          <w:color w:val="000000"/>
          <w:kern w:val="0"/>
          <w:sz w:val="24"/>
          <w:vertAlign w:val="subscript"/>
        </w:rPr>
        <w:t>1</w:t>
      </w:r>
      <w:r>
        <w:rPr>
          <w:rFonts w:hint="eastAsia" w:ascii="宋体" w:cs="宋体"/>
          <w:color w:val="000000"/>
          <w:kern w:val="0"/>
          <w:sz w:val="24"/>
        </w:rPr>
        <w:t>，根据</w:t>
      </w:r>
      <w:r>
        <w:rPr>
          <w:rFonts w:ascii="宋体" w:cs="宋体"/>
          <w:color w:val="000000"/>
          <w:kern w:val="0"/>
          <w:sz w:val="24"/>
        </w:rPr>
        <w:t>残炭</w:t>
      </w:r>
      <w:r>
        <w:rPr>
          <w:rFonts w:hint="eastAsia" w:ascii="宋体" w:cs="宋体"/>
          <w:color w:val="000000"/>
          <w:kern w:val="0"/>
          <w:sz w:val="24"/>
        </w:rPr>
        <w:t>值</w:t>
      </w:r>
      <w:r>
        <w:rPr>
          <w:rFonts w:ascii="宋体" w:cs="宋体"/>
          <w:color w:val="000000"/>
          <w:kern w:val="0"/>
          <w:sz w:val="24"/>
        </w:rPr>
        <w:t>大小</w:t>
      </w:r>
      <w:r>
        <w:rPr>
          <w:rFonts w:hint="eastAsia" w:ascii="宋体" w:cs="宋体"/>
          <w:color w:val="000000"/>
          <w:kern w:val="0"/>
          <w:sz w:val="24"/>
        </w:rPr>
        <w:t>选择</w:t>
      </w:r>
      <w:r>
        <w:rPr>
          <w:rFonts w:ascii="宋体" w:cs="宋体"/>
          <w:color w:val="000000"/>
          <w:kern w:val="0"/>
          <w:sz w:val="24"/>
        </w:rPr>
        <w:t>称样量，</w:t>
      </w:r>
      <w:r>
        <w:rPr>
          <w:rFonts w:hint="eastAsia" w:ascii="宋体" w:cs="宋体"/>
          <w:color w:val="000000"/>
          <w:kern w:val="0"/>
          <w:sz w:val="24"/>
        </w:rPr>
        <w:t>将</w:t>
      </w:r>
      <w:r>
        <w:rPr>
          <w:rFonts w:ascii="宋体" w:cs="宋体"/>
          <w:color w:val="000000"/>
          <w:kern w:val="0"/>
          <w:sz w:val="24"/>
        </w:rPr>
        <w:t>样品装入样品管底部，避免</w:t>
      </w:r>
      <w:r>
        <w:rPr>
          <w:rFonts w:hint="eastAsia" w:ascii="宋体" w:cs="宋体"/>
          <w:color w:val="000000"/>
          <w:kern w:val="0"/>
          <w:sz w:val="24"/>
        </w:rPr>
        <w:t>样品</w:t>
      </w:r>
      <w:r>
        <w:rPr>
          <w:rFonts w:ascii="宋体" w:cs="宋体"/>
          <w:color w:val="000000"/>
          <w:kern w:val="0"/>
          <w:sz w:val="24"/>
        </w:rPr>
        <w:t>粘在管壁上</w:t>
      </w:r>
      <w:r>
        <w:rPr>
          <w:rFonts w:hint="eastAsia" w:ascii="宋体" w:cs="宋体"/>
          <w:color w:val="000000"/>
          <w:kern w:val="0"/>
          <w:sz w:val="24"/>
        </w:rPr>
        <w:t>，</w:t>
      </w:r>
      <w:r>
        <w:rPr>
          <w:rFonts w:ascii="宋体" w:cs="宋体"/>
          <w:color w:val="000000"/>
          <w:kern w:val="0"/>
          <w:sz w:val="24"/>
        </w:rPr>
        <w:t>称量装入样品的样品管</w:t>
      </w:r>
      <w:r>
        <w:rPr>
          <w:rFonts w:hint="eastAsia" w:ascii="宋体" w:cs="宋体"/>
          <w:color w:val="000000"/>
          <w:kern w:val="0"/>
          <w:sz w:val="24"/>
        </w:rPr>
        <w:t>质量</w:t>
      </w:r>
      <w:r>
        <w:rPr>
          <w:rFonts w:ascii="宋体" w:hAnsi="宋体"/>
          <w:i/>
          <w:sz w:val="24"/>
        </w:rPr>
        <w:t>m</w:t>
      </w:r>
      <w:r>
        <w:rPr>
          <w:rFonts w:ascii="宋体" w:hAnsi="宋体"/>
          <w:sz w:val="24"/>
          <w:vertAlign w:val="subscript"/>
        </w:rPr>
        <w:t>2</w:t>
      </w:r>
      <w:r>
        <w:rPr>
          <w:rFonts w:hint="eastAsia" w:ascii="宋体" w:hAnsi="宋体"/>
          <w:sz w:val="24"/>
        </w:rPr>
        <w:t>，将装有测定样品的玻璃样品管依次放入样品管支架上，将装有测定样品的玻璃样品管依次放入样品管支架上。</w:t>
      </w:r>
      <w:r>
        <w:rPr>
          <w:rFonts w:hint="eastAsia" w:ascii="宋体" w:cs="宋体"/>
          <w:color w:val="000000"/>
          <w:kern w:val="0"/>
          <w:sz w:val="24"/>
        </w:rPr>
        <w:t>当炉温低于100℃时，将放有样品管的</w:t>
      </w:r>
      <w:r>
        <w:rPr>
          <w:rFonts w:ascii="宋体" w:cs="宋体"/>
          <w:color w:val="000000"/>
          <w:kern w:val="0"/>
          <w:sz w:val="24"/>
        </w:rPr>
        <w:t>样品架</w:t>
      </w:r>
      <w:r>
        <w:rPr>
          <w:rFonts w:hint="eastAsia" w:ascii="宋体" w:cs="宋体"/>
          <w:color w:val="000000"/>
          <w:kern w:val="0"/>
          <w:sz w:val="24"/>
        </w:rPr>
        <w:t>放入炉膛内，并盖好顶盖，以流速600 mL/min的氮气吹扫至少10 min，然后将氮气流速降到150 mL/min，并以</w:t>
      </w:r>
      <w:bookmarkStart w:id="11" w:name="OLE_LINK4"/>
      <w:r>
        <w:rPr>
          <w:rFonts w:hint="eastAsia" w:ascii="宋体" w:cs="宋体"/>
          <w:color w:val="000000"/>
          <w:kern w:val="0"/>
          <w:sz w:val="24"/>
        </w:rPr>
        <w:t>（</w:t>
      </w:r>
      <w:r>
        <w:rPr>
          <w:color w:val="000000"/>
          <w:kern w:val="0"/>
          <w:sz w:val="24"/>
        </w:rPr>
        <w:t>10~15</w:t>
      </w:r>
      <w:r>
        <w:rPr>
          <w:rFonts w:hint="eastAsia" w:ascii="宋体" w:cs="宋体"/>
          <w:color w:val="000000"/>
          <w:kern w:val="0"/>
          <w:sz w:val="24"/>
        </w:rPr>
        <w:t>）</w:t>
      </w:r>
      <w:r>
        <w:rPr>
          <w:rFonts w:hint="eastAsia" w:ascii="宋体" w:hAnsi="宋体" w:cs="宋体"/>
          <w:color w:val="000000"/>
          <w:kern w:val="0"/>
          <w:sz w:val="24"/>
        </w:rPr>
        <w:t>℃</w:t>
      </w:r>
      <w:r>
        <w:rPr>
          <w:color w:val="000000"/>
          <w:kern w:val="0"/>
          <w:sz w:val="24"/>
        </w:rPr>
        <w:t xml:space="preserve">/min </w:t>
      </w:r>
      <w:bookmarkEnd w:id="11"/>
      <w:r>
        <w:rPr>
          <w:rFonts w:hint="eastAsia" w:ascii="宋体" w:cs="宋体"/>
          <w:color w:val="000000"/>
          <w:kern w:val="0"/>
          <w:sz w:val="24"/>
        </w:rPr>
        <w:t>的加热速率将成焦炉升温至500 ℃恒温15 min，然后关闭电源，让其在600mL/min的氮气流吹扫下冷却；</w:t>
      </w:r>
      <w:bookmarkStart w:id="12" w:name="OLE_LINK12"/>
      <w:bookmarkStart w:id="13" w:name="OLE_LINK13"/>
      <w:r>
        <w:rPr>
          <w:rFonts w:hint="eastAsia" w:ascii="宋体" w:cs="宋体"/>
          <w:color w:val="000000"/>
          <w:kern w:val="0"/>
          <w:sz w:val="24"/>
        </w:rPr>
        <w:t>当炉温降低至250℃时，把样品管支架取出</w:t>
      </w:r>
      <w:bookmarkEnd w:id="12"/>
      <w:bookmarkEnd w:id="13"/>
      <w:r>
        <w:rPr>
          <w:rFonts w:hint="eastAsia" w:ascii="宋体" w:cs="宋体"/>
          <w:color w:val="000000"/>
          <w:kern w:val="0"/>
          <w:sz w:val="24"/>
        </w:rPr>
        <w:t>，并放入干燥器中冷却至室温，称量并记录样品瓶和残炭质量m</w:t>
      </w:r>
      <w:r>
        <w:rPr>
          <w:rFonts w:ascii="宋体" w:cs="宋体"/>
          <w:color w:val="000000"/>
          <w:kern w:val="0"/>
          <w:sz w:val="24"/>
          <w:vertAlign w:val="subscript"/>
        </w:rPr>
        <w:t>3</w:t>
      </w:r>
      <w:r>
        <w:rPr>
          <w:rFonts w:hint="eastAsia" w:ascii="宋体" w:cs="宋体"/>
          <w:color w:val="000000"/>
          <w:kern w:val="0"/>
          <w:sz w:val="24"/>
        </w:rPr>
        <w:t>，依据</w:t>
      </w:r>
      <w:r>
        <w:rPr>
          <w:rFonts w:ascii="宋体" w:cs="宋体"/>
          <w:color w:val="000000"/>
          <w:kern w:val="0"/>
          <w:sz w:val="24"/>
        </w:rPr>
        <w:t>公式</w:t>
      </w:r>
      <w:r>
        <w:rPr>
          <w:rFonts w:hint="eastAsia" w:ascii="宋体" w:cs="宋体"/>
          <w:color w:val="000000"/>
          <w:kern w:val="0"/>
          <w:sz w:val="24"/>
        </w:rPr>
        <w:t>（1）计算</w:t>
      </w:r>
      <w:r>
        <w:rPr>
          <w:rFonts w:ascii="宋体" w:cs="宋体"/>
          <w:color w:val="000000"/>
          <w:kern w:val="0"/>
          <w:sz w:val="24"/>
        </w:rPr>
        <w:t>残炭值</w:t>
      </w:r>
      <w:r>
        <w:rPr>
          <w:rFonts w:hint="eastAsia" w:ascii="宋体" w:cs="宋体"/>
          <w:color w:val="000000"/>
          <w:kern w:val="0"/>
          <w:sz w:val="24"/>
        </w:rPr>
        <w:t>。在进行箱</w:t>
      </w:r>
      <w:r>
        <w:rPr>
          <w:rFonts w:ascii="宋体" w:cs="宋体"/>
          <w:color w:val="000000"/>
          <w:kern w:val="0"/>
          <w:sz w:val="24"/>
        </w:rPr>
        <w:t>体温度校准</w:t>
      </w:r>
      <w:r>
        <w:rPr>
          <w:rFonts w:hint="eastAsia" w:ascii="宋体" w:cs="宋体"/>
          <w:color w:val="000000"/>
          <w:kern w:val="0"/>
          <w:sz w:val="24"/>
        </w:rPr>
        <w:t>时，从收集</w:t>
      </w:r>
      <w:r>
        <w:rPr>
          <w:rFonts w:ascii="宋体" w:cs="宋体"/>
          <w:color w:val="000000"/>
          <w:kern w:val="0"/>
          <w:sz w:val="24"/>
        </w:rPr>
        <w:t>废液的口</w:t>
      </w:r>
      <w:r>
        <w:rPr>
          <w:rFonts w:hint="eastAsia" w:ascii="宋体" w:cs="宋体"/>
          <w:color w:val="000000"/>
          <w:kern w:val="0"/>
          <w:sz w:val="24"/>
        </w:rPr>
        <w:t>将</w:t>
      </w:r>
      <w:r>
        <w:rPr>
          <w:rFonts w:ascii="宋体" w:cs="宋体"/>
          <w:color w:val="000000"/>
          <w:kern w:val="0"/>
          <w:sz w:val="24"/>
        </w:rPr>
        <w:t>热电偶探</w:t>
      </w:r>
      <w:r>
        <w:rPr>
          <w:rFonts w:hint="eastAsia" w:ascii="宋体" w:cs="宋体"/>
          <w:color w:val="000000"/>
          <w:kern w:val="0"/>
          <w:sz w:val="24"/>
        </w:rPr>
        <w:t>进</w:t>
      </w:r>
      <w:r>
        <w:rPr>
          <w:rFonts w:ascii="宋体" w:cs="宋体"/>
          <w:color w:val="000000"/>
          <w:kern w:val="0"/>
          <w:sz w:val="24"/>
        </w:rPr>
        <w:t>箱体</w:t>
      </w:r>
      <w:r>
        <w:rPr>
          <w:rFonts w:hint="eastAsia" w:ascii="宋体" w:cs="宋体"/>
          <w:color w:val="000000"/>
          <w:kern w:val="0"/>
          <w:sz w:val="24"/>
        </w:rPr>
        <w:t>，</w:t>
      </w:r>
      <w:r>
        <w:rPr>
          <w:rFonts w:ascii="宋体" w:cs="宋体"/>
          <w:color w:val="000000"/>
          <w:kern w:val="0"/>
          <w:sz w:val="24"/>
        </w:rPr>
        <w:t>将热电偶固定在样品架上，然后用棉布将收集口堵住，将</w:t>
      </w:r>
      <w:r>
        <w:rPr>
          <w:rFonts w:hint="eastAsia" w:ascii="宋体" w:cs="宋体"/>
          <w:color w:val="000000"/>
          <w:kern w:val="0"/>
          <w:sz w:val="24"/>
        </w:rPr>
        <w:t>顶盖</w:t>
      </w:r>
      <w:r>
        <w:rPr>
          <w:rFonts w:ascii="宋体" w:cs="宋体"/>
          <w:color w:val="000000"/>
          <w:kern w:val="0"/>
          <w:sz w:val="24"/>
        </w:rPr>
        <w:t>盖好后进行温度校准。</w:t>
      </w:r>
    </w:p>
    <w:p w14:paraId="3F8875C9">
      <w:pPr>
        <w:numPr>
          <w:ilvl w:val="0"/>
          <w:numId w:val="2"/>
        </w:numPr>
        <w:autoSpaceDE w:val="0"/>
        <w:autoSpaceDN w:val="0"/>
        <w:adjustRightInd w:val="0"/>
        <w:spacing w:line="500" w:lineRule="exact"/>
        <w:rPr>
          <w:rFonts w:ascii="宋体" w:cs="宋体"/>
          <w:color w:val="000000"/>
          <w:kern w:val="0"/>
          <w:sz w:val="24"/>
        </w:rPr>
      </w:pPr>
      <w:r>
        <w:rPr>
          <w:rFonts w:hint="eastAsia" w:ascii="宋体" w:cs="宋体"/>
          <w:color w:val="000000"/>
          <w:kern w:val="0"/>
          <w:sz w:val="24"/>
        </w:rPr>
        <w:t>样品管与</w:t>
      </w:r>
      <w:r>
        <w:rPr>
          <w:rFonts w:ascii="宋体" w:cs="宋体"/>
          <w:color w:val="000000"/>
          <w:kern w:val="0"/>
          <w:sz w:val="24"/>
        </w:rPr>
        <w:t>称</w:t>
      </w:r>
      <w:r>
        <w:rPr>
          <w:rFonts w:hint="eastAsia" w:ascii="宋体" w:cs="宋体"/>
          <w:color w:val="000000"/>
          <w:kern w:val="0"/>
          <w:sz w:val="24"/>
        </w:rPr>
        <w:t>样量</w:t>
      </w:r>
      <w:r>
        <w:rPr>
          <w:rFonts w:ascii="宋体" w:cs="宋体"/>
          <w:color w:val="000000"/>
          <w:kern w:val="0"/>
          <w:sz w:val="24"/>
        </w:rPr>
        <w:t>的选择</w:t>
      </w:r>
    </w:p>
    <w:p w14:paraId="06F915FC">
      <w:pPr>
        <w:autoSpaceDE w:val="0"/>
        <w:autoSpaceDN w:val="0"/>
        <w:adjustRightInd w:val="0"/>
        <w:spacing w:line="500" w:lineRule="exact"/>
        <w:ind w:firstLine="480" w:firstLineChars="200"/>
        <w:rPr>
          <w:rFonts w:hint="eastAsia" w:ascii="宋体" w:cs="宋体"/>
          <w:color w:val="000000"/>
          <w:kern w:val="0"/>
          <w:sz w:val="24"/>
        </w:rPr>
      </w:pPr>
      <w:r>
        <w:rPr>
          <w:rFonts w:hint="eastAsia" w:ascii="宋体" w:cs="宋体"/>
          <w:color w:val="000000"/>
          <w:kern w:val="0"/>
          <w:sz w:val="24"/>
        </w:rPr>
        <w:t>根据样品</w:t>
      </w:r>
      <w:r>
        <w:rPr>
          <w:rFonts w:ascii="宋体" w:cs="宋体"/>
          <w:color w:val="000000"/>
          <w:kern w:val="0"/>
          <w:sz w:val="24"/>
        </w:rPr>
        <w:t>的</w:t>
      </w:r>
      <w:r>
        <w:rPr>
          <w:rFonts w:hint="eastAsia" w:ascii="宋体" w:cs="宋体"/>
          <w:color w:val="000000"/>
          <w:kern w:val="0"/>
          <w:sz w:val="24"/>
        </w:rPr>
        <w:t>预计残炭值，选择推荐的试样称取量和样品管体积,见</w:t>
      </w:r>
      <w:r>
        <w:rPr>
          <w:rFonts w:ascii="宋体" w:cs="宋体"/>
          <w:color w:val="000000"/>
          <w:kern w:val="0"/>
          <w:sz w:val="24"/>
        </w:rPr>
        <w:t>表</w:t>
      </w:r>
      <w:r>
        <w:rPr>
          <w:rFonts w:hint="eastAsia" w:ascii="宋体" w:cs="宋体"/>
          <w:color w:val="000000"/>
          <w:kern w:val="0"/>
          <w:sz w:val="24"/>
          <w:lang w:val="en-US" w:eastAsia="zh-CN"/>
        </w:rPr>
        <w:t>3</w:t>
      </w:r>
      <w:r>
        <w:rPr>
          <w:rFonts w:hint="eastAsia" w:ascii="宋体" w:cs="宋体"/>
          <w:color w:val="000000"/>
          <w:kern w:val="0"/>
          <w:sz w:val="24"/>
        </w:rPr>
        <w:t>。在分析中应严格按照标准要求进行分析，选取不适宜的样品管可能会影响分析结果。选取容量比推荐值小时，样品在加热过程中易挥发性物质存在残留的可能性；若选取容量比推荐值大时，样品管在加热、转移、干燥等过程中，被杂质污染的可能性就更大，</w:t>
      </w:r>
      <w:r>
        <w:rPr>
          <w:rFonts w:ascii="宋体" w:cs="宋体"/>
          <w:color w:val="000000"/>
          <w:kern w:val="0"/>
          <w:sz w:val="24"/>
        </w:rPr>
        <w:t>在那去样品管的过程中均</w:t>
      </w:r>
      <w:r>
        <w:rPr>
          <w:rFonts w:hint="eastAsia" w:ascii="宋体" w:cs="宋体"/>
          <w:color w:val="000000"/>
          <w:kern w:val="0"/>
          <w:sz w:val="24"/>
        </w:rPr>
        <w:t>需</w:t>
      </w:r>
      <w:r>
        <w:rPr>
          <w:rFonts w:ascii="宋体" w:cs="宋体"/>
          <w:color w:val="000000"/>
          <w:kern w:val="0"/>
          <w:sz w:val="24"/>
        </w:rPr>
        <w:t>使用夹子或者镊子，避免污染</w:t>
      </w:r>
      <w:r>
        <w:rPr>
          <w:rFonts w:hint="eastAsia" w:ascii="宋体" w:cs="宋体"/>
          <w:color w:val="000000"/>
          <w:kern w:val="0"/>
          <w:sz w:val="24"/>
        </w:rPr>
        <w:t>。</w:t>
      </w:r>
    </w:p>
    <w:p w14:paraId="115703CF">
      <w:pPr>
        <w:autoSpaceDE w:val="0"/>
        <w:autoSpaceDN w:val="0"/>
        <w:adjustRightInd w:val="0"/>
        <w:spacing w:line="500" w:lineRule="exact"/>
        <w:ind w:firstLine="460" w:firstLineChars="192"/>
        <w:jc w:val="center"/>
        <w:rPr>
          <w:rFonts w:ascii="宋体" w:cs="宋体"/>
          <w:color w:val="000000"/>
          <w:kern w:val="0"/>
          <w:sz w:val="24"/>
        </w:rPr>
      </w:pPr>
      <w:r>
        <w:rPr>
          <w:rFonts w:hint="eastAsia" w:ascii="宋体" w:cs="宋体"/>
          <w:color w:val="000000"/>
          <w:kern w:val="0"/>
          <w:sz w:val="24"/>
        </w:rPr>
        <w:t>表</w:t>
      </w:r>
      <w:r>
        <w:rPr>
          <w:rFonts w:hint="eastAsia" w:ascii="宋体" w:cs="宋体"/>
          <w:color w:val="000000"/>
          <w:kern w:val="0"/>
          <w:sz w:val="24"/>
          <w:lang w:val="en-US" w:eastAsia="zh-CN"/>
        </w:rPr>
        <w:t>3</w:t>
      </w:r>
      <w:r>
        <w:rPr>
          <w:rFonts w:ascii="宋体" w:cs="宋体"/>
          <w:color w:val="000000"/>
          <w:kern w:val="0"/>
          <w:sz w:val="24"/>
        </w:rPr>
        <w:t xml:space="preserve"> </w:t>
      </w:r>
      <w:r>
        <w:rPr>
          <w:rFonts w:hint="eastAsia" w:ascii="宋体" w:cs="宋体"/>
          <w:color w:val="000000"/>
          <w:kern w:val="0"/>
          <w:sz w:val="24"/>
        </w:rPr>
        <w:t>残炭值与称</w:t>
      </w:r>
      <w:r>
        <w:rPr>
          <w:rFonts w:ascii="宋体" w:cs="宋体"/>
          <w:color w:val="000000"/>
          <w:kern w:val="0"/>
          <w:sz w:val="24"/>
        </w:rPr>
        <w:t>样量</w:t>
      </w:r>
      <w:r>
        <w:rPr>
          <w:rFonts w:hint="eastAsia" w:ascii="宋体" w:cs="宋体"/>
          <w:color w:val="000000"/>
          <w:kern w:val="0"/>
          <w:sz w:val="24"/>
        </w:rPr>
        <w:t>和</w:t>
      </w:r>
      <w:r>
        <w:rPr>
          <w:rFonts w:ascii="宋体" w:cs="宋体"/>
          <w:color w:val="000000"/>
          <w:kern w:val="0"/>
          <w:sz w:val="24"/>
        </w:rPr>
        <w:t>样品管</w:t>
      </w:r>
      <w:r>
        <w:rPr>
          <w:rFonts w:hint="eastAsia" w:ascii="宋体" w:cs="宋体"/>
          <w:color w:val="000000"/>
          <w:kern w:val="0"/>
          <w:sz w:val="24"/>
        </w:rPr>
        <w:t>容积</w:t>
      </w:r>
      <w:r>
        <w:rPr>
          <w:rFonts w:ascii="宋体" w:cs="宋体"/>
          <w:color w:val="000000"/>
          <w:kern w:val="0"/>
          <w:sz w:val="24"/>
        </w:rPr>
        <w:t>的关系</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20"/>
        <w:gridCol w:w="2501"/>
        <w:gridCol w:w="2601"/>
      </w:tblGrid>
      <w:tr w14:paraId="35FB8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0" w:type="dxa"/>
            <w:noWrap w:val="0"/>
            <w:vAlign w:val="top"/>
          </w:tcPr>
          <w:p w14:paraId="659826D8">
            <w:pPr>
              <w:autoSpaceDE w:val="0"/>
              <w:autoSpaceDN w:val="0"/>
              <w:adjustRightInd w:val="0"/>
              <w:spacing w:line="500" w:lineRule="exact"/>
              <w:ind w:firstLine="460" w:firstLineChars="192"/>
              <w:jc w:val="center"/>
              <w:rPr>
                <w:color w:val="000000"/>
                <w:kern w:val="0"/>
                <w:sz w:val="24"/>
              </w:rPr>
            </w:pPr>
            <w:bookmarkStart w:id="14" w:name="OLE_LINK19"/>
            <w:bookmarkStart w:id="15" w:name="OLE_LINK18"/>
            <w:r>
              <w:rPr>
                <w:rFonts w:hint="eastAsia"/>
                <w:color w:val="000000"/>
                <w:kern w:val="0"/>
                <w:sz w:val="24"/>
              </w:rPr>
              <w:t>残炭值质量分数</w:t>
            </w:r>
            <w:r>
              <w:rPr>
                <w:color w:val="000000"/>
                <w:kern w:val="0"/>
                <w:sz w:val="24"/>
              </w:rPr>
              <w:t>范围(%)</w:t>
            </w:r>
          </w:p>
        </w:tc>
        <w:tc>
          <w:tcPr>
            <w:tcW w:w="2541" w:type="dxa"/>
            <w:noWrap w:val="0"/>
            <w:vAlign w:val="top"/>
          </w:tcPr>
          <w:p w14:paraId="2C1A500A">
            <w:pPr>
              <w:autoSpaceDE w:val="0"/>
              <w:autoSpaceDN w:val="0"/>
              <w:adjustRightInd w:val="0"/>
              <w:spacing w:line="500" w:lineRule="exact"/>
              <w:ind w:firstLine="460" w:firstLineChars="192"/>
              <w:jc w:val="center"/>
              <w:rPr>
                <w:color w:val="000000"/>
                <w:kern w:val="0"/>
                <w:sz w:val="24"/>
              </w:rPr>
            </w:pPr>
            <w:r>
              <w:rPr>
                <w:rFonts w:hint="eastAsia"/>
                <w:color w:val="000000"/>
                <w:kern w:val="0"/>
                <w:sz w:val="24"/>
              </w:rPr>
              <w:t>称</w:t>
            </w:r>
            <w:r>
              <w:rPr>
                <w:color w:val="000000"/>
                <w:kern w:val="0"/>
                <w:sz w:val="24"/>
              </w:rPr>
              <w:t>样量（g）</w:t>
            </w:r>
          </w:p>
        </w:tc>
        <w:tc>
          <w:tcPr>
            <w:tcW w:w="2669" w:type="dxa"/>
            <w:noWrap w:val="0"/>
            <w:vAlign w:val="top"/>
          </w:tcPr>
          <w:p w14:paraId="6C34E6BF">
            <w:pPr>
              <w:autoSpaceDE w:val="0"/>
              <w:autoSpaceDN w:val="0"/>
              <w:adjustRightInd w:val="0"/>
              <w:spacing w:line="500" w:lineRule="exact"/>
              <w:ind w:firstLine="460" w:firstLineChars="192"/>
              <w:jc w:val="center"/>
              <w:rPr>
                <w:rFonts w:hint="eastAsia"/>
                <w:color w:val="000000"/>
                <w:kern w:val="0"/>
                <w:sz w:val="24"/>
              </w:rPr>
            </w:pPr>
            <w:r>
              <w:rPr>
                <w:rFonts w:hint="eastAsia"/>
                <w:color w:val="000000"/>
                <w:kern w:val="0"/>
                <w:sz w:val="24"/>
              </w:rPr>
              <w:t>样品管</w:t>
            </w:r>
            <w:r>
              <w:rPr>
                <w:color w:val="000000"/>
                <w:kern w:val="0"/>
                <w:sz w:val="24"/>
              </w:rPr>
              <w:t>容积（</w:t>
            </w:r>
            <w:r>
              <w:rPr>
                <w:rFonts w:hint="eastAsia"/>
                <w:color w:val="000000"/>
                <w:kern w:val="0"/>
                <w:sz w:val="24"/>
              </w:rPr>
              <w:t>m</w:t>
            </w:r>
            <w:r>
              <w:rPr>
                <w:color w:val="000000"/>
                <w:kern w:val="0"/>
                <w:sz w:val="24"/>
              </w:rPr>
              <w:t>L）</w:t>
            </w:r>
          </w:p>
        </w:tc>
      </w:tr>
      <w:tr w14:paraId="6411A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0" w:type="dxa"/>
            <w:noWrap w:val="0"/>
            <w:vAlign w:val="top"/>
          </w:tcPr>
          <w:p w14:paraId="64E15277">
            <w:pPr>
              <w:autoSpaceDE w:val="0"/>
              <w:autoSpaceDN w:val="0"/>
              <w:adjustRightInd w:val="0"/>
              <w:spacing w:line="500" w:lineRule="exact"/>
              <w:ind w:firstLine="460" w:firstLineChars="192"/>
              <w:jc w:val="center"/>
              <w:rPr>
                <w:color w:val="000000"/>
                <w:kern w:val="0"/>
                <w:sz w:val="24"/>
              </w:rPr>
            </w:pPr>
            <w:r>
              <w:rPr>
                <w:color w:val="000000"/>
                <w:kern w:val="0"/>
                <w:sz w:val="24"/>
              </w:rPr>
              <w:t>＞5.0</w:t>
            </w:r>
          </w:p>
        </w:tc>
        <w:tc>
          <w:tcPr>
            <w:tcW w:w="2541" w:type="dxa"/>
            <w:noWrap w:val="0"/>
            <w:vAlign w:val="top"/>
          </w:tcPr>
          <w:p w14:paraId="5527B21E">
            <w:pPr>
              <w:autoSpaceDE w:val="0"/>
              <w:autoSpaceDN w:val="0"/>
              <w:adjustRightInd w:val="0"/>
              <w:spacing w:line="500" w:lineRule="exact"/>
              <w:ind w:firstLine="460" w:firstLineChars="192"/>
              <w:jc w:val="center"/>
              <w:rPr>
                <w:color w:val="000000"/>
                <w:kern w:val="0"/>
                <w:sz w:val="24"/>
              </w:rPr>
            </w:pPr>
            <w:r>
              <w:rPr>
                <w:color w:val="000000"/>
                <w:kern w:val="0"/>
                <w:sz w:val="24"/>
              </w:rPr>
              <w:t>0.15±0.05</w:t>
            </w:r>
          </w:p>
        </w:tc>
        <w:tc>
          <w:tcPr>
            <w:tcW w:w="2669" w:type="dxa"/>
            <w:noWrap w:val="0"/>
            <w:vAlign w:val="top"/>
          </w:tcPr>
          <w:p w14:paraId="7F5F60FC">
            <w:pPr>
              <w:autoSpaceDE w:val="0"/>
              <w:autoSpaceDN w:val="0"/>
              <w:adjustRightInd w:val="0"/>
              <w:spacing w:line="500" w:lineRule="exact"/>
              <w:ind w:firstLine="460" w:firstLineChars="192"/>
              <w:jc w:val="center"/>
              <w:rPr>
                <w:color w:val="000000"/>
                <w:kern w:val="0"/>
                <w:sz w:val="24"/>
              </w:rPr>
            </w:pPr>
            <w:r>
              <w:rPr>
                <w:rFonts w:hint="eastAsia"/>
                <w:color w:val="000000"/>
                <w:kern w:val="0"/>
                <w:sz w:val="24"/>
              </w:rPr>
              <w:t>2</w:t>
            </w:r>
          </w:p>
        </w:tc>
      </w:tr>
      <w:tr w14:paraId="230AB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0" w:type="dxa"/>
            <w:noWrap w:val="0"/>
            <w:vAlign w:val="top"/>
          </w:tcPr>
          <w:p w14:paraId="50EE0C4E">
            <w:pPr>
              <w:autoSpaceDE w:val="0"/>
              <w:autoSpaceDN w:val="0"/>
              <w:adjustRightInd w:val="0"/>
              <w:spacing w:line="500" w:lineRule="exact"/>
              <w:ind w:firstLine="460" w:firstLineChars="192"/>
              <w:jc w:val="center"/>
              <w:rPr>
                <w:color w:val="000000"/>
                <w:kern w:val="0"/>
                <w:sz w:val="24"/>
              </w:rPr>
            </w:pPr>
            <w:r>
              <w:rPr>
                <w:color w:val="000000"/>
                <w:kern w:val="0"/>
                <w:sz w:val="24"/>
              </w:rPr>
              <w:t>1.0~5.0</w:t>
            </w:r>
          </w:p>
        </w:tc>
        <w:tc>
          <w:tcPr>
            <w:tcW w:w="2541" w:type="dxa"/>
            <w:noWrap w:val="0"/>
            <w:vAlign w:val="top"/>
          </w:tcPr>
          <w:p w14:paraId="33847391">
            <w:pPr>
              <w:autoSpaceDE w:val="0"/>
              <w:autoSpaceDN w:val="0"/>
              <w:adjustRightInd w:val="0"/>
              <w:spacing w:line="500" w:lineRule="exact"/>
              <w:ind w:firstLine="460" w:firstLineChars="192"/>
              <w:jc w:val="center"/>
              <w:rPr>
                <w:color w:val="000000"/>
                <w:kern w:val="0"/>
                <w:sz w:val="24"/>
              </w:rPr>
            </w:pPr>
            <w:r>
              <w:rPr>
                <w:color w:val="000000"/>
                <w:kern w:val="0"/>
                <w:sz w:val="24"/>
              </w:rPr>
              <w:t>0.50±0.10</w:t>
            </w:r>
          </w:p>
        </w:tc>
        <w:tc>
          <w:tcPr>
            <w:tcW w:w="2669" w:type="dxa"/>
            <w:noWrap w:val="0"/>
            <w:vAlign w:val="top"/>
          </w:tcPr>
          <w:p w14:paraId="14744A52">
            <w:pPr>
              <w:autoSpaceDE w:val="0"/>
              <w:autoSpaceDN w:val="0"/>
              <w:adjustRightInd w:val="0"/>
              <w:spacing w:line="500" w:lineRule="exact"/>
              <w:ind w:firstLine="460" w:firstLineChars="192"/>
              <w:jc w:val="center"/>
              <w:rPr>
                <w:color w:val="000000"/>
                <w:kern w:val="0"/>
                <w:sz w:val="24"/>
              </w:rPr>
            </w:pPr>
            <w:r>
              <w:rPr>
                <w:rFonts w:hint="eastAsia"/>
                <w:color w:val="000000"/>
                <w:kern w:val="0"/>
                <w:sz w:val="24"/>
              </w:rPr>
              <w:t>2</w:t>
            </w:r>
          </w:p>
        </w:tc>
      </w:tr>
      <w:tr w14:paraId="3C6EF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0" w:type="dxa"/>
            <w:noWrap w:val="0"/>
            <w:vAlign w:val="top"/>
          </w:tcPr>
          <w:p w14:paraId="28454D39">
            <w:pPr>
              <w:autoSpaceDE w:val="0"/>
              <w:autoSpaceDN w:val="0"/>
              <w:adjustRightInd w:val="0"/>
              <w:spacing w:line="500" w:lineRule="exact"/>
              <w:ind w:firstLine="460" w:firstLineChars="192"/>
              <w:jc w:val="center"/>
              <w:rPr>
                <w:color w:val="000000"/>
                <w:kern w:val="0"/>
                <w:sz w:val="24"/>
              </w:rPr>
            </w:pPr>
            <w:r>
              <w:rPr>
                <w:color w:val="000000"/>
                <w:kern w:val="0"/>
                <w:sz w:val="24"/>
              </w:rPr>
              <w:t>0.2~1.0</w:t>
            </w:r>
          </w:p>
        </w:tc>
        <w:tc>
          <w:tcPr>
            <w:tcW w:w="2541" w:type="dxa"/>
            <w:noWrap w:val="0"/>
            <w:vAlign w:val="top"/>
          </w:tcPr>
          <w:p w14:paraId="0AB396E2">
            <w:pPr>
              <w:autoSpaceDE w:val="0"/>
              <w:autoSpaceDN w:val="0"/>
              <w:adjustRightInd w:val="0"/>
              <w:spacing w:line="500" w:lineRule="exact"/>
              <w:ind w:firstLine="460" w:firstLineChars="192"/>
              <w:jc w:val="center"/>
              <w:rPr>
                <w:color w:val="000000"/>
                <w:kern w:val="0"/>
                <w:sz w:val="24"/>
              </w:rPr>
            </w:pPr>
            <w:r>
              <w:rPr>
                <w:color w:val="000000"/>
                <w:kern w:val="0"/>
                <w:sz w:val="24"/>
              </w:rPr>
              <w:t>1.50±0.50</w:t>
            </w:r>
          </w:p>
        </w:tc>
        <w:tc>
          <w:tcPr>
            <w:tcW w:w="2669" w:type="dxa"/>
            <w:noWrap w:val="0"/>
            <w:vAlign w:val="top"/>
          </w:tcPr>
          <w:p w14:paraId="15F5C563">
            <w:pPr>
              <w:autoSpaceDE w:val="0"/>
              <w:autoSpaceDN w:val="0"/>
              <w:adjustRightInd w:val="0"/>
              <w:spacing w:line="500" w:lineRule="exact"/>
              <w:ind w:firstLine="460" w:firstLineChars="192"/>
              <w:jc w:val="center"/>
              <w:rPr>
                <w:color w:val="000000"/>
                <w:kern w:val="0"/>
                <w:sz w:val="24"/>
              </w:rPr>
            </w:pPr>
            <w:r>
              <w:rPr>
                <w:rFonts w:hint="eastAsia"/>
                <w:color w:val="000000"/>
                <w:kern w:val="0"/>
                <w:sz w:val="24"/>
              </w:rPr>
              <w:t>2</w:t>
            </w:r>
          </w:p>
        </w:tc>
      </w:tr>
      <w:tr w14:paraId="25DC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0" w:type="dxa"/>
            <w:noWrap w:val="0"/>
            <w:vAlign w:val="top"/>
          </w:tcPr>
          <w:p w14:paraId="30A8A932">
            <w:pPr>
              <w:autoSpaceDE w:val="0"/>
              <w:autoSpaceDN w:val="0"/>
              <w:adjustRightInd w:val="0"/>
              <w:spacing w:line="500" w:lineRule="exact"/>
              <w:ind w:firstLine="460" w:firstLineChars="192"/>
              <w:jc w:val="center"/>
              <w:rPr>
                <w:color w:val="000000"/>
                <w:kern w:val="0"/>
                <w:sz w:val="24"/>
              </w:rPr>
            </w:pPr>
            <w:r>
              <w:rPr>
                <w:color w:val="000000"/>
                <w:kern w:val="0"/>
                <w:sz w:val="24"/>
              </w:rPr>
              <w:t>＜</w:t>
            </w:r>
            <w:r>
              <w:rPr>
                <w:rFonts w:hint="eastAsia"/>
                <w:color w:val="000000"/>
                <w:kern w:val="0"/>
                <w:sz w:val="24"/>
              </w:rPr>
              <w:t>0.2</w:t>
            </w:r>
          </w:p>
        </w:tc>
        <w:tc>
          <w:tcPr>
            <w:tcW w:w="2541" w:type="dxa"/>
            <w:noWrap w:val="0"/>
            <w:vAlign w:val="top"/>
          </w:tcPr>
          <w:p w14:paraId="28B18D67">
            <w:pPr>
              <w:autoSpaceDE w:val="0"/>
              <w:autoSpaceDN w:val="0"/>
              <w:adjustRightInd w:val="0"/>
              <w:spacing w:line="500" w:lineRule="exact"/>
              <w:ind w:firstLine="460" w:firstLineChars="192"/>
              <w:jc w:val="center"/>
              <w:rPr>
                <w:color w:val="000000"/>
                <w:kern w:val="0"/>
                <w:sz w:val="24"/>
              </w:rPr>
            </w:pPr>
            <w:r>
              <w:rPr>
                <w:color w:val="000000"/>
                <w:kern w:val="0"/>
                <w:sz w:val="24"/>
              </w:rPr>
              <w:t>3.00±0.50</w:t>
            </w:r>
          </w:p>
        </w:tc>
        <w:tc>
          <w:tcPr>
            <w:tcW w:w="2669" w:type="dxa"/>
            <w:noWrap w:val="0"/>
            <w:vAlign w:val="top"/>
          </w:tcPr>
          <w:p w14:paraId="3AE25559">
            <w:pPr>
              <w:autoSpaceDE w:val="0"/>
              <w:autoSpaceDN w:val="0"/>
              <w:adjustRightInd w:val="0"/>
              <w:spacing w:line="500" w:lineRule="exact"/>
              <w:ind w:firstLine="460" w:firstLineChars="192"/>
              <w:jc w:val="center"/>
              <w:rPr>
                <w:rFonts w:hint="eastAsia"/>
                <w:color w:val="000000"/>
                <w:kern w:val="0"/>
                <w:sz w:val="24"/>
              </w:rPr>
            </w:pPr>
            <w:bookmarkStart w:id="16" w:name="OLE_LINK3"/>
            <w:r>
              <w:rPr>
                <w:color w:val="000000"/>
                <w:kern w:val="0"/>
                <w:sz w:val="24"/>
              </w:rPr>
              <w:t>4</w:t>
            </w:r>
            <w:bookmarkEnd w:id="16"/>
          </w:p>
        </w:tc>
      </w:tr>
      <w:tr w14:paraId="4D80E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0" w:type="dxa"/>
            <w:noWrap w:val="0"/>
            <w:vAlign w:val="top"/>
          </w:tcPr>
          <w:p w14:paraId="7214CA55">
            <w:pPr>
              <w:autoSpaceDE w:val="0"/>
              <w:autoSpaceDN w:val="0"/>
              <w:adjustRightInd w:val="0"/>
              <w:spacing w:line="500" w:lineRule="exact"/>
              <w:ind w:firstLine="460" w:firstLineChars="192"/>
              <w:jc w:val="center"/>
              <w:rPr>
                <w:color w:val="000000"/>
                <w:kern w:val="0"/>
                <w:sz w:val="24"/>
              </w:rPr>
            </w:pPr>
            <w:r>
              <w:rPr>
                <w:color w:val="000000"/>
                <w:kern w:val="0"/>
                <w:sz w:val="24"/>
              </w:rPr>
              <w:t>＜</w:t>
            </w:r>
            <w:r>
              <w:rPr>
                <w:rFonts w:hint="eastAsia"/>
                <w:color w:val="000000"/>
                <w:kern w:val="0"/>
                <w:sz w:val="24"/>
              </w:rPr>
              <w:t>0.</w:t>
            </w:r>
            <w:r>
              <w:rPr>
                <w:color w:val="000000"/>
                <w:kern w:val="0"/>
                <w:sz w:val="24"/>
              </w:rPr>
              <w:t>1</w:t>
            </w:r>
          </w:p>
        </w:tc>
        <w:tc>
          <w:tcPr>
            <w:tcW w:w="2541" w:type="dxa"/>
            <w:noWrap w:val="0"/>
            <w:vAlign w:val="top"/>
          </w:tcPr>
          <w:p w14:paraId="54122C8D">
            <w:pPr>
              <w:autoSpaceDE w:val="0"/>
              <w:autoSpaceDN w:val="0"/>
              <w:adjustRightInd w:val="0"/>
              <w:spacing w:line="500" w:lineRule="exact"/>
              <w:ind w:firstLine="460" w:firstLineChars="192"/>
              <w:jc w:val="center"/>
              <w:rPr>
                <w:color w:val="000000"/>
                <w:kern w:val="0"/>
                <w:sz w:val="24"/>
              </w:rPr>
            </w:pPr>
            <w:r>
              <w:rPr>
                <w:color w:val="000000"/>
                <w:kern w:val="0"/>
                <w:sz w:val="24"/>
              </w:rPr>
              <w:t>5.00±0.50</w:t>
            </w:r>
          </w:p>
        </w:tc>
        <w:tc>
          <w:tcPr>
            <w:tcW w:w="2669" w:type="dxa"/>
            <w:noWrap w:val="0"/>
            <w:vAlign w:val="top"/>
          </w:tcPr>
          <w:p w14:paraId="085D4D5B">
            <w:pPr>
              <w:autoSpaceDE w:val="0"/>
              <w:autoSpaceDN w:val="0"/>
              <w:adjustRightInd w:val="0"/>
              <w:spacing w:line="500" w:lineRule="exact"/>
              <w:ind w:firstLine="460" w:firstLineChars="192"/>
              <w:jc w:val="center"/>
              <w:rPr>
                <w:color w:val="000000"/>
                <w:kern w:val="0"/>
                <w:sz w:val="24"/>
              </w:rPr>
            </w:pPr>
            <w:r>
              <w:rPr>
                <w:color w:val="000000"/>
                <w:kern w:val="0"/>
                <w:sz w:val="24"/>
              </w:rPr>
              <w:t>4</w:t>
            </w:r>
          </w:p>
        </w:tc>
      </w:tr>
      <w:bookmarkEnd w:id="14"/>
      <w:bookmarkEnd w:id="15"/>
    </w:tbl>
    <w:p w14:paraId="114CE42D">
      <w:pPr>
        <w:autoSpaceDE w:val="0"/>
        <w:autoSpaceDN w:val="0"/>
        <w:adjustRightInd w:val="0"/>
        <w:spacing w:line="500" w:lineRule="exact"/>
        <w:ind w:firstLine="460" w:firstLineChars="192"/>
        <w:rPr>
          <w:rFonts w:ascii="宋体" w:cs="宋体"/>
          <w:color w:val="000000"/>
          <w:kern w:val="0"/>
          <w:sz w:val="24"/>
        </w:rPr>
      </w:pPr>
      <w:r>
        <w:rPr>
          <w:rFonts w:ascii="宋体" w:cs="宋体"/>
          <w:color w:val="000000"/>
          <w:kern w:val="0"/>
          <w:sz w:val="24"/>
        </w:rPr>
        <w:t>2</w:t>
      </w:r>
      <w:r>
        <w:rPr>
          <w:rFonts w:hint="eastAsia" w:ascii="宋体" w:cs="宋体"/>
          <w:color w:val="000000"/>
          <w:kern w:val="0"/>
          <w:sz w:val="24"/>
        </w:rPr>
        <w:t>.升温速率</w:t>
      </w:r>
    </w:p>
    <w:p w14:paraId="78E54008">
      <w:pPr>
        <w:autoSpaceDE w:val="0"/>
        <w:autoSpaceDN w:val="0"/>
        <w:adjustRightInd w:val="0"/>
        <w:spacing w:line="500" w:lineRule="exact"/>
        <w:ind w:firstLine="460" w:firstLineChars="192"/>
        <w:rPr>
          <w:color w:val="000000"/>
          <w:kern w:val="0"/>
          <w:sz w:val="24"/>
        </w:rPr>
      </w:pPr>
      <w:r>
        <w:rPr>
          <w:rFonts w:hint="eastAsia" w:ascii="宋体" w:cs="宋体"/>
          <w:color w:val="000000"/>
          <w:kern w:val="0"/>
          <w:sz w:val="24"/>
        </w:rPr>
        <w:t>在进行</w:t>
      </w:r>
      <w:r>
        <w:rPr>
          <w:rFonts w:ascii="宋体" w:cs="宋体"/>
          <w:color w:val="000000"/>
          <w:kern w:val="0"/>
          <w:sz w:val="24"/>
        </w:rPr>
        <w:t>测试之前，</w:t>
      </w:r>
      <w:r>
        <w:rPr>
          <w:rFonts w:hint="eastAsia" w:ascii="宋体" w:cs="宋体"/>
          <w:color w:val="000000"/>
          <w:kern w:val="0"/>
          <w:sz w:val="24"/>
        </w:rPr>
        <w:t>经过</w:t>
      </w:r>
      <w:r>
        <w:rPr>
          <w:rFonts w:ascii="宋体" w:cs="宋体"/>
          <w:color w:val="000000"/>
          <w:kern w:val="0"/>
          <w:sz w:val="24"/>
        </w:rPr>
        <w:t>氮气</w:t>
      </w:r>
      <w:r>
        <w:rPr>
          <w:rFonts w:hint="eastAsia" w:ascii="宋体" w:cs="宋体"/>
          <w:color w:val="000000"/>
          <w:kern w:val="0"/>
          <w:sz w:val="24"/>
        </w:rPr>
        <w:t>吹扫</w:t>
      </w:r>
      <w:r>
        <w:rPr>
          <w:rFonts w:ascii="宋体" w:cs="宋体"/>
          <w:color w:val="000000"/>
          <w:kern w:val="0"/>
          <w:sz w:val="24"/>
        </w:rPr>
        <w:t>，保证箱体中是氮气氛围后，开始升温，升温速率</w:t>
      </w:r>
      <w:r>
        <w:rPr>
          <w:rFonts w:hint="eastAsia" w:ascii="宋体" w:cs="宋体"/>
          <w:color w:val="000000"/>
          <w:kern w:val="0"/>
          <w:sz w:val="24"/>
        </w:rPr>
        <w:t>可在（</w:t>
      </w:r>
      <w:r>
        <w:rPr>
          <w:color w:val="000000"/>
          <w:kern w:val="0"/>
          <w:sz w:val="24"/>
        </w:rPr>
        <w:t>10~15</w:t>
      </w:r>
      <w:r>
        <w:rPr>
          <w:rFonts w:hint="eastAsia" w:ascii="宋体" w:cs="宋体"/>
          <w:color w:val="000000"/>
          <w:kern w:val="0"/>
          <w:sz w:val="24"/>
        </w:rPr>
        <w:t>）</w:t>
      </w:r>
      <w:r>
        <w:rPr>
          <w:rFonts w:hint="eastAsia" w:ascii="宋体" w:hAnsi="宋体" w:cs="宋体"/>
          <w:color w:val="000000"/>
          <w:kern w:val="0"/>
          <w:sz w:val="24"/>
        </w:rPr>
        <w:t>℃</w:t>
      </w:r>
      <w:r>
        <w:rPr>
          <w:color w:val="000000"/>
          <w:kern w:val="0"/>
          <w:sz w:val="24"/>
        </w:rPr>
        <w:t>/min</w:t>
      </w:r>
      <w:r>
        <w:rPr>
          <w:rFonts w:hint="eastAsia"/>
          <w:color w:val="000000"/>
          <w:kern w:val="0"/>
          <w:sz w:val="24"/>
        </w:rPr>
        <w:t>范围</w:t>
      </w:r>
      <w:r>
        <w:rPr>
          <w:color w:val="000000"/>
          <w:kern w:val="0"/>
          <w:sz w:val="24"/>
        </w:rPr>
        <w:t>内可调</w:t>
      </w:r>
      <w:r>
        <w:rPr>
          <w:rFonts w:hint="eastAsia"/>
          <w:color w:val="000000"/>
          <w:kern w:val="0"/>
          <w:sz w:val="24"/>
        </w:rPr>
        <w:t>。升温速率对残炭值的影响不可忽视，若</w:t>
      </w:r>
      <w:r>
        <w:rPr>
          <w:color w:val="000000"/>
          <w:kern w:val="0"/>
          <w:sz w:val="24"/>
        </w:rPr>
        <w:t>升温</w:t>
      </w:r>
      <w:r>
        <w:rPr>
          <w:rFonts w:hint="eastAsia"/>
          <w:color w:val="000000"/>
          <w:kern w:val="0"/>
          <w:sz w:val="24"/>
        </w:rPr>
        <w:t>过快</w:t>
      </w:r>
      <w:r>
        <w:rPr>
          <w:color w:val="000000"/>
          <w:kern w:val="0"/>
          <w:sz w:val="24"/>
        </w:rPr>
        <w:t>，超过</w:t>
      </w:r>
      <w:bookmarkStart w:id="17" w:name="OLE_LINK8"/>
      <w:bookmarkStart w:id="18" w:name="OLE_LINK7"/>
      <w:r>
        <w:rPr>
          <w:rFonts w:hint="eastAsia"/>
          <w:color w:val="000000"/>
          <w:kern w:val="0"/>
          <w:sz w:val="24"/>
        </w:rPr>
        <w:t>15</w:t>
      </w:r>
      <w:r>
        <w:rPr>
          <w:rFonts w:hint="eastAsia" w:ascii="宋体" w:hAnsi="宋体" w:cs="宋体"/>
          <w:color w:val="000000"/>
          <w:kern w:val="0"/>
          <w:sz w:val="24"/>
        </w:rPr>
        <w:t>℃</w:t>
      </w:r>
      <w:r>
        <w:rPr>
          <w:color w:val="000000"/>
          <w:kern w:val="0"/>
          <w:sz w:val="24"/>
        </w:rPr>
        <w:t>/min</w:t>
      </w:r>
      <w:bookmarkEnd w:id="17"/>
      <w:bookmarkEnd w:id="18"/>
      <w:r>
        <w:rPr>
          <w:rFonts w:hint="eastAsia"/>
          <w:color w:val="000000"/>
          <w:kern w:val="0"/>
          <w:sz w:val="24"/>
        </w:rPr>
        <w:t>，可能导致样品快速通过低温分解阶段，减少某些组分的完全裂解，残炭值可能偏低（挥发性成分逸出不完全）或偏高（高温缩合反应更剧烈），具体取决于样品组成；</w:t>
      </w:r>
      <w:r>
        <w:rPr>
          <w:color w:val="000000"/>
          <w:kern w:val="0"/>
          <w:sz w:val="24"/>
        </w:rPr>
        <w:t>若升温过慢，</w:t>
      </w:r>
      <w:r>
        <w:rPr>
          <w:rFonts w:hint="eastAsia"/>
          <w:color w:val="000000"/>
          <w:kern w:val="0"/>
          <w:sz w:val="24"/>
        </w:rPr>
        <w:t>低于1</w:t>
      </w:r>
      <w:r>
        <w:rPr>
          <w:color w:val="000000"/>
          <w:kern w:val="0"/>
          <w:sz w:val="24"/>
        </w:rPr>
        <w:t>0</w:t>
      </w:r>
      <w:r>
        <w:rPr>
          <w:rFonts w:hint="eastAsia" w:ascii="宋体" w:hAnsi="宋体" w:cs="宋体"/>
          <w:color w:val="000000"/>
          <w:kern w:val="0"/>
          <w:sz w:val="24"/>
        </w:rPr>
        <w:t>℃</w:t>
      </w:r>
      <w:r>
        <w:rPr>
          <w:color w:val="000000"/>
          <w:kern w:val="0"/>
          <w:sz w:val="24"/>
        </w:rPr>
        <w:t>/min</w:t>
      </w:r>
      <w:r>
        <w:rPr>
          <w:rFonts w:hint="eastAsia"/>
          <w:color w:val="000000"/>
          <w:kern w:val="0"/>
          <w:sz w:val="24"/>
        </w:rPr>
        <w:t>，低温停留时间过长，可能增加轻质组分的挥发，导致残炭值偏高（更多重组分残留）。因此</w:t>
      </w:r>
      <w:r>
        <w:rPr>
          <w:color w:val="000000"/>
          <w:kern w:val="0"/>
          <w:sz w:val="24"/>
        </w:rPr>
        <w:t>在</w:t>
      </w:r>
      <w:r>
        <w:rPr>
          <w:rFonts w:hint="eastAsia"/>
          <w:color w:val="000000"/>
          <w:kern w:val="0"/>
          <w:sz w:val="24"/>
        </w:rPr>
        <w:t>选定速率后，保持所有实验条件一致，通过标准化操作最大限度减少偏差，以确保数据可比性。</w:t>
      </w:r>
    </w:p>
    <w:p w14:paraId="69A0AA1D">
      <w:pPr>
        <w:autoSpaceDE w:val="0"/>
        <w:autoSpaceDN w:val="0"/>
        <w:adjustRightInd w:val="0"/>
        <w:spacing w:line="500" w:lineRule="exact"/>
        <w:ind w:firstLine="460" w:firstLineChars="192"/>
        <w:rPr>
          <w:rFonts w:hint="eastAsia" w:ascii="宋体" w:cs="宋体"/>
          <w:color w:val="000000"/>
          <w:kern w:val="0"/>
          <w:sz w:val="24"/>
        </w:rPr>
      </w:pPr>
      <w:r>
        <w:rPr>
          <w:rFonts w:ascii="宋体" w:cs="宋体"/>
          <w:color w:val="000000"/>
          <w:kern w:val="0"/>
          <w:sz w:val="24"/>
        </w:rPr>
        <w:t>3</w:t>
      </w:r>
      <w:r>
        <w:rPr>
          <w:rFonts w:hint="eastAsia" w:ascii="宋体" w:cs="宋体"/>
          <w:color w:val="000000"/>
          <w:kern w:val="0"/>
          <w:sz w:val="24"/>
        </w:rPr>
        <w:t>．恒温</w:t>
      </w:r>
      <w:r>
        <w:rPr>
          <w:rFonts w:ascii="宋体" w:cs="宋体"/>
          <w:color w:val="000000"/>
          <w:kern w:val="0"/>
          <w:sz w:val="24"/>
        </w:rPr>
        <w:t>时间</w:t>
      </w:r>
    </w:p>
    <w:p w14:paraId="09E385D9">
      <w:pPr>
        <w:autoSpaceDE w:val="0"/>
        <w:autoSpaceDN w:val="0"/>
        <w:adjustRightInd w:val="0"/>
        <w:spacing w:line="500" w:lineRule="exact"/>
        <w:ind w:firstLine="460" w:firstLineChars="192"/>
        <w:rPr>
          <w:rFonts w:hint="eastAsia" w:ascii="宋体" w:cs="宋体"/>
          <w:color w:val="000000"/>
          <w:kern w:val="0"/>
          <w:sz w:val="24"/>
        </w:rPr>
      </w:pPr>
      <w:r>
        <w:rPr>
          <w:rFonts w:hint="eastAsia" w:ascii="宋体" w:cs="宋体"/>
          <w:color w:val="000000"/>
          <w:kern w:val="0"/>
          <w:sz w:val="24"/>
        </w:rPr>
        <w:t>成焦炉升温至 500</w:t>
      </w:r>
      <w:bookmarkStart w:id="19" w:name="OLE_LINK16"/>
      <w:bookmarkStart w:id="20" w:name="OLE_LINK17"/>
      <w:r>
        <w:rPr>
          <w:rFonts w:hint="eastAsia" w:ascii="宋体" w:cs="宋体"/>
          <w:color w:val="000000"/>
          <w:kern w:val="0"/>
          <w:sz w:val="24"/>
        </w:rPr>
        <w:t>℃</w:t>
      </w:r>
      <w:bookmarkEnd w:id="19"/>
      <w:bookmarkEnd w:id="20"/>
      <w:r>
        <w:rPr>
          <w:rFonts w:hint="eastAsia" w:ascii="宋体" w:cs="宋体"/>
          <w:color w:val="000000"/>
          <w:kern w:val="0"/>
          <w:sz w:val="24"/>
        </w:rPr>
        <w:t>恒温15 min，然后关闭电源，让其在600mL/min的氮气流吹扫下冷却；当炉温降低至250</w:t>
      </w:r>
      <w:bookmarkStart w:id="21" w:name="OLE_LINK15"/>
      <w:bookmarkStart w:id="22" w:name="OLE_LINK14"/>
      <w:r>
        <w:rPr>
          <w:rFonts w:hint="eastAsia" w:ascii="宋体" w:cs="宋体"/>
          <w:color w:val="000000"/>
          <w:kern w:val="0"/>
          <w:sz w:val="24"/>
        </w:rPr>
        <w:t>℃</w:t>
      </w:r>
      <w:bookmarkEnd w:id="21"/>
      <w:bookmarkEnd w:id="22"/>
      <w:r>
        <w:rPr>
          <w:rFonts w:hint="eastAsia" w:ascii="宋体" w:cs="宋体"/>
          <w:color w:val="000000"/>
          <w:kern w:val="0"/>
          <w:sz w:val="24"/>
        </w:rPr>
        <w:t>时，把样品管支架取出。规定的15min是平衡裂解充分性与避免过度反应的优化条件，偏离此时间会导致系统性误差。在刚刚升温至500℃时，样品中轻质组分（如烷烃、芳烃）快速挥发，部分重组分（胶质、沥青质）开始裂解。在500℃恒温的15分钟内，剩余重组分进一步裂解为挥发性产物（气体、焦油）和固态残炭（缩聚产物）。此阶段是残炭形成的关键窗口，</w:t>
      </w:r>
      <w:r>
        <w:rPr>
          <w:rFonts w:ascii="宋体" w:cs="宋体"/>
          <w:color w:val="000000"/>
          <w:kern w:val="0"/>
          <w:sz w:val="24"/>
        </w:rPr>
        <w:t>时间不足或者过长</w:t>
      </w:r>
      <w:r>
        <w:rPr>
          <w:rFonts w:hint="eastAsia" w:ascii="宋体" w:cs="宋体"/>
          <w:color w:val="000000"/>
          <w:kern w:val="0"/>
          <w:sz w:val="24"/>
        </w:rPr>
        <w:t>均有可能</w:t>
      </w:r>
      <w:r>
        <w:rPr>
          <w:rFonts w:ascii="宋体" w:cs="宋体"/>
          <w:color w:val="000000"/>
          <w:kern w:val="0"/>
          <w:sz w:val="24"/>
        </w:rPr>
        <w:t>会导致结果偏低。</w:t>
      </w:r>
      <w:r>
        <w:rPr>
          <w:rFonts w:hint="eastAsia" w:ascii="宋体" w:cs="宋体"/>
          <w:color w:val="000000"/>
          <w:kern w:val="0"/>
          <w:sz w:val="24"/>
        </w:rPr>
        <w:t>需定期使用标准物质进行测试，监控恒温时间对结果的敏感性。</w:t>
      </w:r>
    </w:p>
    <w:p w14:paraId="26434C2D">
      <w:pPr>
        <w:widowControl/>
        <w:spacing w:line="440" w:lineRule="exact"/>
        <w:jc w:val="left"/>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3.2  试验方法</w:t>
      </w:r>
    </w:p>
    <w:p w14:paraId="2D766B9F">
      <w:pPr>
        <w:autoSpaceDE w:val="0"/>
        <w:autoSpaceDN w:val="0"/>
        <w:adjustRightInd w:val="0"/>
        <w:spacing w:line="500" w:lineRule="exact"/>
        <w:ind w:firstLine="460" w:firstLineChars="192"/>
        <w:rPr>
          <w:rFonts w:hint="eastAsia" w:ascii="宋体" w:cs="宋体"/>
          <w:color w:val="000000"/>
          <w:kern w:val="0"/>
          <w:sz w:val="24"/>
        </w:rPr>
      </w:pPr>
      <w:r>
        <w:rPr>
          <w:rFonts w:hint="eastAsia" w:ascii="宋体" w:cs="宋体"/>
          <w:color w:val="000000"/>
          <w:kern w:val="0"/>
          <w:sz w:val="24"/>
        </w:rPr>
        <w:t>1.试验</w:t>
      </w:r>
      <w:r>
        <w:rPr>
          <w:rFonts w:ascii="宋体" w:cs="宋体"/>
          <w:color w:val="000000"/>
          <w:kern w:val="0"/>
          <w:sz w:val="24"/>
        </w:rPr>
        <w:t>准备：</w:t>
      </w:r>
    </w:p>
    <w:p w14:paraId="407E5A4F">
      <w:pPr>
        <w:autoSpaceDE w:val="0"/>
        <w:autoSpaceDN w:val="0"/>
        <w:adjustRightInd w:val="0"/>
        <w:spacing w:line="500" w:lineRule="exact"/>
        <w:ind w:firstLine="460" w:firstLineChars="192"/>
        <w:rPr>
          <w:rFonts w:hint="eastAsia" w:ascii="宋体" w:cs="宋体"/>
          <w:color w:val="000000"/>
          <w:kern w:val="0"/>
          <w:sz w:val="24"/>
          <w:lang w:val="en-US" w:eastAsia="zh-CN"/>
        </w:rPr>
      </w:pPr>
      <w:r>
        <w:rPr>
          <w:rFonts w:hint="eastAsia" w:ascii="宋体" w:cs="宋体"/>
          <w:color w:val="000000"/>
          <w:kern w:val="0"/>
          <w:sz w:val="24"/>
        </w:rPr>
        <w:t>标准</w:t>
      </w:r>
      <w:r>
        <w:rPr>
          <w:rFonts w:ascii="宋体" w:cs="宋体"/>
          <w:color w:val="000000"/>
          <w:kern w:val="0"/>
          <w:sz w:val="24"/>
        </w:rPr>
        <w:t>物质：</w:t>
      </w:r>
      <w:r>
        <w:rPr>
          <w:rFonts w:hint="eastAsia" w:ascii="宋体" w:cs="宋体"/>
          <w:color w:val="000000"/>
          <w:kern w:val="0"/>
          <w:sz w:val="24"/>
        </w:rPr>
        <w:t>油品残炭有证</w:t>
      </w:r>
      <w:r>
        <w:rPr>
          <w:rFonts w:ascii="宋体" w:cs="宋体"/>
          <w:color w:val="000000"/>
          <w:kern w:val="0"/>
          <w:sz w:val="24"/>
        </w:rPr>
        <w:t>标准</w:t>
      </w:r>
      <w:r>
        <w:rPr>
          <w:rFonts w:hint="eastAsia" w:ascii="宋体" w:cs="宋体"/>
          <w:color w:val="000000"/>
          <w:kern w:val="0"/>
          <w:sz w:val="24"/>
        </w:rPr>
        <w:t>物质</w:t>
      </w:r>
      <w:r>
        <w:rPr>
          <w:rFonts w:hint="eastAsia" w:ascii="宋体" w:cs="宋体"/>
          <w:color w:val="000000"/>
          <w:kern w:val="0"/>
          <w:sz w:val="24"/>
          <w:lang w:eastAsia="zh-CN"/>
        </w:rPr>
        <w:t>，具体信息见下表</w:t>
      </w:r>
      <w:r>
        <w:rPr>
          <w:rFonts w:hint="eastAsia" w:ascii="宋体" w:cs="宋体"/>
          <w:color w:val="000000"/>
          <w:kern w:val="0"/>
          <w:sz w:val="24"/>
          <w:lang w:val="en-US" w:eastAsia="zh-CN"/>
        </w:rPr>
        <w:t>2</w:t>
      </w:r>
    </w:p>
    <w:p w14:paraId="60AEE138">
      <w:pPr>
        <w:autoSpaceDE w:val="0"/>
        <w:autoSpaceDN w:val="0"/>
        <w:adjustRightInd w:val="0"/>
        <w:spacing w:line="500" w:lineRule="exact"/>
        <w:ind w:firstLine="460" w:firstLineChars="192"/>
        <w:jc w:val="center"/>
        <w:rPr>
          <w:rFonts w:hint="default" w:ascii="宋体" w:cs="宋体"/>
          <w:color w:val="000000"/>
          <w:kern w:val="0"/>
          <w:sz w:val="24"/>
          <w:lang w:val="en-US" w:eastAsia="zh-CN"/>
        </w:rPr>
      </w:pPr>
      <w:r>
        <w:rPr>
          <w:rFonts w:hint="eastAsia" w:ascii="宋体" w:cs="宋体"/>
          <w:color w:val="000000"/>
          <w:kern w:val="0"/>
          <w:sz w:val="24"/>
          <w:lang w:val="en-US" w:eastAsia="zh-CN"/>
        </w:rPr>
        <w:t>表2使用残炭标准物质信息</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36"/>
        <w:gridCol w:w="2846"/>
      </w:tblGrid>
      <w:tr w14:paraId="7BFD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noWrap w:val="0"/>
            <w:vAlign w:val="top"/>
          </w:tcPr>
          <w:p w14:paraId="4CFCB05E">
            <w:pPr>
              <w:autoSpaceDE w:val="0"/>
              <w:autoSpaceDN w:val="0"/>
              <w:adjustRightInd w:val="0"/>
              <w:spacing w:line="500" w:lineRule="exact"/>
              <w:jc w:val="center"/>
              <w:rPr>
                <w:rFonts w:hint="eastAsia" w:ascii="宋体" w:hAnsi="Times New Roman" w:eastAsia="宋体" w:cs="宋体"/>
                <w:color w:val="000000"/>
                <w:kern w:val="0"/>
                <w:sz w:val="24"/>
                <w:lang w:val="en-US" w:eastAsia="zh-CN"/>
              </w:rPr>
            </w:pPr>
            <w:r>
              <w:rPr>
                <w:rFonts w:hint="eastAsia" w:ascii="宋体" w:hAnsi="Times New Roman" w:eastAsia="宋体" w:cs="宋体"/>
                <w:color w:val="000000"/>
                <w:kern w:val="0"/>
                <w:sz w:val="24"/>
                <w:lang w:val="en-US" w:eastAsia="zh-CN"/>
              </w:rPr>
              <w:t>标准物质号</w:t>
            </w:r>
          </w:p>
        </w:tc>
        <w:tc>
          <w:tcPr>
            <w:tcW w:w="2907" w:type="dxa"/>
            <w:noWrap w:val="0"/>
            <w:vAlign w:val="top"/>
          </w:tcPr>
          <w:p w14:paraId="5FE8C160">
            <w:pPr>
              <w:autoSpaceDE w:val="0"/>
              <w:autoSpaceDN w:val="0"/>
              <w:adjustRightInd w:val="0"/>
              <w:spacing w:line="500" w:lineRule="exact"/>
              <w:jc w:val="center"/>
              <w:rPr>
                <w:rFonts w:hint="default" w:ascii="宋体" w:hAnsi="Times New Roman" w:eastAsia="宋体" w:cs="宋体"/>
                <w:color w:val="000000"/>
                <w:kern w:val="0"/>
                <w:sz w:val="24"/>
                <w:lang w:val="en-US" w:eastAsia="zh-CN"/>
              </w:rPr>
            </w:pPr>
            <w:r>
              <w:rPr>
                <w:rFonts w:hint="eastAsia" w:ascii="宋体" w:hAnsi="Times New Roman" w:eastAsia="宋体" w:cs="宋体"/>
                <w:color w:val="000000"/>
                <w:kern w:val="0"/>
                <w:sz w:val="24"/>
                <w:lang w:eastAsia="zh-CN"/>
              </w:rPr>
              <w:t>标称值</w:t>
            </w:r>
            <w:r>
              <w:rPr>
                <w:rFonts w:hint="eastAsia" w:ascii="宋体" w:hAnsi="Times New Roman" w:eastAsia="宋体" w:cs="宋体"/>
                <w:color w:val="000000"/>
                <w:kern w:val="0"/>
                <w:sz w:val="24"/>
                <w:lang w:val="en-US" w:eastAsia="zh-CN"/>
              </w:rPr>
              <w:t>/%</w:t>
            </w:r>
          </w:p>
        </w:tc>
        <w:tc>
          <w:tcPr>
            <w:tcW w:w="2907" w:type="dxa"/>
            <w:noWrap w:val="0"/>
            <w:vAlign w:val="top"/>
          </w:tcPr>
          <w:p w14:paraId="25487611">
            <w:pPr>
              <w:autoSpaceDE w:val="0"/>
              <w:autoSpaceDN w:val="0"/>
              <w:adjustRightInd w:val="0"/>
              <w:spacing w:line="500" w:lineRule="exact"/>
              <w:jc w:val="center"/>
              <w:rPr>
                <w:rFonts w:hint="default" w:ascii="宋体" w:hAnsi="Times New Roman" w:eastAsia="宋体" w:cs="宋体"/>
                <w:color w:val="000000"/>
                <w:kern w:val="0"/>
                <w:sz w:val="24"/>
                <w:lang w:val="en-US" w:eastAsia="zh-CN"/>
              </w:rPr>
            </w:pPr>
            <w:r>
              <w:rPr>
                <w:rFonts w:hint="eastAsia" w:ascii="宋体" w:hAnsi="Times New Roman" w:eastAsia="宋体" w:cs="宋体"/>
                <w:color w:val="000000"/>
                <w:kern w:val="0"/>
                <w:sz w:val="24"/>
                <w:lang w:eastAsia="zh-CN"/>
              </w:rPr>
              <w:t>不确定度</w:t>
            </w:r>
            <w:r>
              <w:rPr>
                <w:rFonts w:hint="eastAsia" w:ascii="宋体" w:hAnsi="Times New Roman" w:eastAsia="宋体" w:cs="宋体"/>
                <w:color w:val="000000"/>
                <w:kern w:val="0"/>
                <w:sz w:val="24"/>
                <w:lang w:val="en-US" w:eastAsia="zh-CN"/>
              </w:rPr>
              <w:t>/</w:t>
            </w:r>
            <w:r>
              <w:rPr>
                <w:rFonts w:hint="eastAsia" w:ascii="宋体" w:hAnsi="Times New Roman" w:eastAsia="宋体" w:cs="宋体"/>
                <w:i/>
                <w:iCs/>
                <w:color w:val="000000"/>
                <w:kern w:val="0"/>
                <w:sz w:val="24"/>
                <w:lang w:val="en-US" w:eastAsia="zh-CN"/>
              </w:rPr>
              <w:t>U</w:t>
            </w:r>
            <w:r>
              <w:rPr>
                <w:rFonts w:hint="eastAsia" w:ascii="宋体" w:hAnsi="Times New Roman" w:eastAsia="宋体" w:cs="宋体"/>
                <w:color w:val="000000"/>
                <w:kern w:val="0"/>
                <w:sz w:val="24"/>
                <w:lang w:val="en-US" w:eastAsia="zh-CN"/>
              </w:rPr>
              <w:t>,</w:t>
            </w:r>
            <w:r>
              <w:rPr>
                <w:rFonts w:hint="eastAsia" w:ascii="宋体" w:hAnsi="Times New Roman" w:eastAsia="宋体" w:cs="宋体"/>
                <w:i/>
                <w:iCs/>
                <w:color w:val="000000"/>
                <w:kern w:val="0"/>
                <w:sz w:val="24"/>
                <w:lang w:val="en-US" w:eastAsia="zh-CN"/>
              </w:rPr>
              <w:t>k</w:t>
            </w:r>
            <w:r>
              <w:rPr>
                <w:rFonts w:hint="eastAsia" w:ascii="宋体" w:hAnsi="Times New Roman" w:eastAsia="宋体" w:cs="宋体"/>
                <w:color w:val="000000"/>
                <w:kern w:val="0"/>
                <w:sz w:val="24"/>
                <w:lang w:val="en-US" w:eastAsia="zh-CN"/>
              </w:rPr>
              <w:t>=2</w:t>
            </w:r>
          </w:p>
        </w:tc>
      </w:tr>
      <w:tr w14:paraId="64B28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noWrap w:val="0"/>
            <w:vAlign w:val="top"/>
          </w:tcPr>
          <w:p w14:paraId="6483EE47">
            <w:pPr>
              <w:autoSpaceDE w:val="0"/>
              <w:autoSpaceDN w:val="0"/>
              <w:adjustRightInd w:val="0"/>
              <w:spacing w:line="500" w:lineRule="exact"/>
              <w:ind w:firstLine="460" w:firstLineChars="192"/>
              <w:jc w:val="center"/>
              <w:rPr>
                <w:rFonts w:hint="default" w:ascii="宋体" w:hAnsi="Times New Roman" w:eastAsia="宋体" w:cs="宋体"/>
                <w:color w:val="000000"/>
                <w:kern w:val="0"/>
                <w:sz w:val="24"/>
                <w:lang w:val="en-US" w:eastAsia="zh-CN"/>
              </w:rPr>
            </w:pPr>
            <w:r>
              <w:rPr>
                <w:rFonts w:hint="eastAsia" w:ascii="宋体" w:hAnsi="Times New Roman" w:eastAsia="宋体" w:cs="宋体"/>
                <w:color w:val="000000"/>
                <w:kern w:val="0"/>
                <w:sz w:val="24"/>
                <w:lang w:val="en-US" w:eastAsia="zh-CN"/>
              </w:rPr>
              <w:t>GBW （E）110139</w:t>
            </w:r>
          </w:p>
        </w:tc>
        <w:tc>
          <w:tcPr>
            <w:tcW w:w="2907" w:type="dxa"/>
            <w:noWrap w:val="0"/>
            <w:vAlign w:val="top"/>
          </w:tcPr>
          <w:p w14:paraId="794B4FAA">
            <w:pPr>
              <w:autoSpaceDE w:val="0"/>
              <w:autoSpaceDN w:val="0"/>
              <w:adjustRightInd w:val="0"/>
              <w:spacing w:line="500" w:lineRule="exact"/>
              <w:jc w:val="center"/>
              <w:rPr>
                <w:rFonts w:hint="eastAsia" w:ascii="宋体" w:hAnsi="Times New Roman" w:eastAsia="宋体" w:cs="宋体"/>
                <w:color w:val="000000"/>
                <w:kern w:val="0"/>
                <w:sz w:val="24"/>
              </w:rPr>
            </w:pPr>
            <w:r>
              <w:rPr>
                <w:rFonts w:hint="eastAsia" w:ascii="宋体" w:hAnsi="Times New Roman" w:eastAsia="宋体" w:cs="宋体"/>
                <w:color w:val="000000"/>
                <w:kern w:val="0"/>
                <w:sz w:val="24"/>
              </w:rPr>
              <w:t>16.05</w:t>
            </w:r>
          </w:p>
        </w:tc>
        <w:tc>
          <w:tcPr>
            <w:tcW w:w="2907" w:type="dxa"/>
            <w:noWrap w:val="0"/>
            <w:vAlign w:val="top"/>
          </w:tcPr>
          <w:p w14:paraId="11B404D0">
            <w:pPr>
              <w:autoSpaceDE w:val="0"/>
              <w:autoSpaceDN w:val="0"/>
              <w:adjustRightInd w:val="0"/>
              <w:spacing w:line="500" w:lineRule="exact"/>
              <w:ind w:firstLine="460" w:firstLineChars="192"/>
              <w:jc w:val="center"/>
              <w:rPr>
                <w:rFonts w:hint="default" w:ascii="宋体" w:hAnsi="Times New Roman" w:eastAsia="宋体" w:cs="宋体"/>
                <w:color w:val="000000"/>
                <w:kern w:val="0"/>
                <w:sz w:val="24"/>
                <w:lang w:val="en-US" w:eastAsia="zh-CN"/>
              </w:rPr>
            </w:pPr>
            <w:r>
              <w:rPr>
                <w:rFonts w:hint="eastAsia" w:ascii="宋体" w:hAnsi="Times New Roman" w:eastAsia="宋体" w:cs="宋体"/>
                <w:color w:val="000000"/>
                <w:kern w:val="0"/>
                <w:sz w:val="24"/>
                <w:lang w:val="en-US" w:eastAsia="zh-CN"/>
              </w:rPr>
              <w:t>0.46</w:t>
            </w:r>
          </w:p>
        </w:tc>
      </w:tr>
      <w:tr w14:paraId="45A49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noWrap w:val="0"/>
            <w:vAlign w:val="top"/>
          </w:tcPr>
          <w:p w14:paraId="04D5E3F9">
            <w:pPr>
              <w:autoSpaceDE w:val="0"/>
              <w:autoSpaceDN w:val="0"/>
              <w:adjustRightInd w:val="0"/>
              <w:spacing w:line="500" w:lineRule="exact"/>
              <w:ind w:firstLine="460" w:firstLineChars="192"/>
              <w:jc w:val="center"/>
              <w:rPr>
                <w:rFonts w:hint="default" w:ascii="宋体" w:hAnsi="Times New Roman" w:eastAsia="宋体" w:cs="宋体"/>
                <w:color w:val="000000"/>
                <w:kern w:val="0"/>
                <w:sz w:val="24"/>
                <w:lang w:val="en-US"/>
              </w:rPr>
            </w:pPr>
            <w:r>
              <w:rPr>
                <w:rFonts w:hint="eastAsia" w:ascii="宋体" w:hAnsi="Times New Roman" w:eastAsia="宋体" w:cs="宋体"/>
                <w:color w:val="000000"/>
                <w:kern w:val="0"/>
                <w:sz w:val="24"/>
                <w:lang w:val="en-US" w:eastAsia="zh-CN"/>
              </w:rPr>
              <w:t>GBW （E）110140</w:t>
            </w:r>
          </w:p>
        </w:tc>
        <w:tc>
          <w:tcPr>
            <w:tcW w:w="2907" w:type="dxa"/>
            <w:noWrap w:val="0"/>
            <w:vAlign w:val="bottom"/>
          </w:tcPr>
          <w:p w14:paraId="05EC486E">
            <w:pPr>
              <w:autoSpaceDE w:val="0"/>
              <w:autoSpaceDN w:val="0"/>
              <w:adjustRightInd w:val="0"/>
              <w:spacing w:line="500" w:lineRule="exact"/>
              <w:jc w:val="center"/>
              <w:rPr>
                <w:rFonts w:hint="eastAsia" w:ascii="宋体" w:hAnsi="Times New Roman" w:eastAsia="宋体" w:cs="宋体"/>
                <w:color w:val="000000"/>
                <w:kern w:val="0"/>
                <w:sz w:val="24"/>
              </w:rPr>
            </w:pPr>
            <w:r>
              <w:rPr>
                <w:rFonts w:hint="eastAsia" w:ascii="宋体" w:hAnsi="Times New Roman" w:eastAsia="宋体" w:cs="宋体"/>
                <w:color w:val="000000"/>
                <w:kern w:val="0"/>
                <w:sz w:val="24"/>
              </w:rPr>
              <w:t>11.10</w:t>
            </w:r>
          </w:p>
        </w:tc>
        <w:tc>
          <w:tcPr>
            <w:tcW w:w="2907" w:type="dxa"/>
            <w:noWrap w:val="0"/>
            <w:vAlign w:val="top"/>
          </w:tcPr>
          <w:p w14:paraId="4E03DC30">
            <w:pPr>
              <w:autoSpaceDE w:val="0"/>
              <w:autoSpaceDN w:val="0"/>
              <w:adjustRightInd w:val="0"/>
              <w:spacing w:line="500" w:lineRule="exact"/>
              <w:ind w:firstLine="460" w:firstLineChars="192"/>
              <w:jc w:val="center"/>
              <w:rPr>
                <w:rFonts w:hint="default" w:ascii="宋体" w:hAnsi="Times New Roman" w:eastAsia="宋体" w:cs="宋体"/>
                <w:color w:val="000000"/>
                <w:kern w:val="0"/>
                <w:sz w:val="24"/>
                <w:lang w:val="en-US" w:eastAsia="zh-CN"/>
              </w:rPr>
            </w:pPr>
            <w:r>
              <w:rPr>
                <w:rFonts w:hint="eastAsia" w:ascii="宋体" w:hAnsi="Times New Roman" w:eastAsia="宋体" w:cs="宋体"/>
                <w:color w:val="000000"/>
                <w:kern w:val="0"/>
                <w:sz w:val="24"/>
                <w:lang w:val="en-US" w:eastAsia="zh-CN"/>
              </w:rPr>
              <w:t>0.42</w:t>
            </w:r>
          </w:p>
        </w:tc>
      </w:tr>
      <w:tr w14:paraId="4753E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noWrap w:val="0"/>
            <w:vAlign w:val="top"/>
          </w:tcPr>
          <w:p w14:paraId="1A1BB5CE">
            <w:pPr>
              <w:autoSpaceDE w:val="0"/>
              <w:autoSpaceDN w:val="0"/>
              <w:adjustRightInd w:val="0"/>
              <w:spacing w:line="500" w:lineRule="exact"/>
              <w:ind w:firstLine="460" w:firstLineChars="192"/>
              <w:jc w:val="center"/>
              <w:rPr>
                <w:rFonts w:hint="default" w:ascii="宋体" w:hAnsi="Times New Roman" w:eastAsia="宋体" w:cs="宋体"/>
                <w:color w:val="000000"/>
                <w:kern w:val="0"/>
                <w:sz w:val="24"/>
                <w:lang w:val="en-US"/>
              </w:rPr>
            </w:pPr>
            <w:r>
              <w:rPr>
                <w:rFonts w:hint="eastAsia" w:ascii="宋体" w:hAnsi="Times New Roman" w:eastAsia="宋体" w:cs="宋体"/>
                <w:color w:val="000000"/>
                <w:kern w:val="0"/>
                <w:sz w:val="24"/>
                <w:lang w:val="en-US" w:eastAsia="zh-CN"/>
              </w:rPr>
              <w:t>GBW （E）110141</w:t>
            </w:r>
          </w:p>
        </w:tc>
        <w:tc>
          <w:tcPr>
            <w:tcW w:w="2907" w:type="dxa"/>
            <w:noWrap w:val="0"/>
            <w:vAlign w:val="bottom"/>
          </w:tcPr>
          <w:p w14:paraId="60C13FFC">
            <w:pPr>
              <w:autoSpaceDE w:val="0"/>
              <w:autoSpaceDN w:val="0"/>
              <w:adjustRightInd w:val="0"/>
              <w:spacing w:line="500" w:lineRule="exact"/>
              <w:jc w:val="center"/>
              <w:rPr>
                <w:rFonts w:hint="eastAsia" w:ascii="宋体" w:hAnsi="Times New Roman" w:eastAsia="宋体" w:cs="宋体"/>
                <w:color w:val="000000"/>
                <w:kern w:val="0"/>
                <w:sz w:val="24"/>
              </w:rPr>
            </w:pPr>
            <w:r>
              <w:rPr>
                <w:rFonts w:hint="eastAsia" w:ascii="宋体" w:hAnsi="Times New Roman" w:eastAsia="宋体" w:cs="宋体"/>
                <w:color w:val="000000"/>
                <w:kern w:val="0"/>
                <w:sz w:val="24"/>
              </w:rPr>
              <w:t>6.70</w:t>
            </w:r>
          </w:p>
        </w:tc>
        <w:tc>
          <w:tcPr>
            <w:tcW w:w="2907" w:type="dxa"/>
            <w:noWrap w:val="0"/>
            <w:vAlign w:val="top"/>
          </w:tcPr>
          <w:p w14:paraId="5734A5A2">
            <w:pPr>
              <w:autoSpaceDE w:val="0"/>
              <w:autoSpaceDN w:val="0"/>
              <w:adjustRightInd w:val="0"/>
              <w:spacing w:line="500" w:lineRule="exact"/>
              <w:ind w:firstLine="460" w:firstLineChars="192"/>
              <w:jc w:val="center"/>
              <w:rPr>
                <w:rFonts w:hint="default" w:ascii="宋体" w:hAnsi="Times New Roman" w:eastAsia="宋体" w:cs="宋体"/>
                <w:color w:val="000000"/>
                <w:kern w:val="0"/>
                <w:sz w:val="24"/>
                <w:lang w:val="en-US" w:eastAsia="zh-CN"/>
              </w:rPr>
            </w:pPr>
            <w:r>
              <w:rPr>
                <w:rFonts w:hint="eastAsia" w:ascii="宋体" w:hAnsi="Times New Roman" w:eastAsia="宋体" w:cs="宋体"/>
                <w:color w:val="000000"/>
                <w:kern w:val="0"/>
                <w:sz w:val="24"/>
                <w:lang w:val="en-US" w:eastAsia="zh-CN"/>
              </w:rPr>
              <w:t>0.24</w:t>
            </w:r>
          </w:p>
        </w:tc>
      </w:tr>
      <w:tr w14:paraId="41965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noWrap w:val="0"/>
            <w:vAlign w:val="top"/>
          </w:tcPr>
          <w:p w14:paraId="25215264">
            <w:pPr>
              <w:autoSpaceDE w:val="0"/>
              <w:autoSpaceDN w:val="0"/>
              <w:adjustRightInd w:val="0"/>
              <w:spacing w:line="500" w:lineRule="exact"/>
              <w:ind w:firstLine="460" w:firstLineChars="192"/>
              <w:jc w:val="center"/>
              <w:rPr>
                <w:rFonts w:hint="default" w:ascii="宋体" w:hAnsi="Times New Roman" w:eastAsia="宋体" w:cs="宋体"/>
                <w:color w:val="000000"/>
                <w:kern w:val="0"/>
                <w:sz w:val="24"/>
                <w:lang w:val="en-US"/>
              </w:rPr>
            </w:pPr>
            <w:r>
              <w:rPr>
                <w:rFonts w:hint="eastAsia" w:ascii="宋体" w:hAnsi="Times New Roman" w:eastAsia="宋体" w:cs="宋体"/>
                <w:color w:val="000000"/>
                <w:kern w:val="0"/>
                <w:sz w:val="24"/>
                <w:lang w:val="en-US" w:eastAsia="zh-CN"/>
              </w:rPr>
              <w:t>GBW （E）110142</w:t>
            </w:r>
          </w:p>
        </w:tc>
        <w:tc>
          <w:tcPr>
            <w:tcW w:w="2907" w:type="dxa"/>
            <w:noWrap w:val="0"/>
            <w:vAlign w:val="bottom"/>
          </w:tcPr>
          <w:p w14:paraId="23AE3233">
            <w:pPr>
              <w:autoSpaceDE w:val="0"/>
              <w:autoSpaceDN w:val="0"/>
              <w:adjustRightInd w:val="0"/>
              <w:spacing w:line="500" w:lineRule="exact"/>
              <w:jc w:val="center"/>
              <w:rPr>
                <w:rFonts w:hint="eastAsia" w:ascii="宋体" w:hAnsi="Times New Roman" w:eastAsia="宋体" w:cs="宋体"/>
                <w:color w:val="000000"/>
                <w:kern w:val="0"/>
                <w:sz w:val="24"/>
              </w:rPr>
            </w:pPr>
            <w:r>
              <w:rPr>
                <w:rFonts w:hint="eastAsia" w:ascii="宋体" w:hAnsi="Times New Roman" w:eastAsia="宋体" w:cs="宋体"/>
                <w:color w:val="000000"/>
                <w:kern w:val="0"/>
                <w:sz w:val="24"/>
              </w:rPr>
              <w:t>1.43</w:t>
            </w:r>
          </w:p>
        </w:tc>
        <w:tc>
          <w:tcPr>
            <w:tcW w:w="2907" w:type="dxa"/>
            <w:noWrap w:val="0"/>
            <w:vAlign w:val="top"/>
          </w:tcPr>
          <w:p w14:paraId="12FAFBD3">
            <w:pPr>
              <w:autoSpaceDE w:val="0"/>
              <w:autoSpaceDN w:val="0"/>
              <w:adjustRightInd w:val="0"/>
              <w:spacing w:line="500" w:lineRule="exact"/>
              <w:ind w:firstLine="460" w:firstLineChars="192"/>
              <w:jc w:val="center"/>
              <w:rPr>
                <w:rFonts w:hint="default" w:ascii="宋体" w:hAnsi="Times New Roman" w:eastAsia="宋体" w:cs="宋体"/>
                <w:color w:val="000000"/>
                <w:kern w:val="0"/>
                <w:sz w:val="24"/>
                <w:lang w:val="en-US" w:eastAsia="zh-CN"/>
              </w:rPr>
            </w:pPr>
            <w:r>
              <w:rPr>
                <w:rFonts w:hint="eastAsia" w:ascii="宋体" w:hAnsi="Times New Roman" w:eastAsia="宋体" w:cs="宋体"/>
                <w:color w:val="000000"/>
                <w:kern w:val="0"/>
                <w:sz w:val="24"/>
                <w:lang w:val="en-US" w:eastAsia="zh-CN"/>
              </w:rPr>
              <w:t>0.06</w:t>
            </w:r>
          </w:p>
        </w:tc>
      </w:tr>
      <w:tr w14:paraId="09D94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noWrap w:val="0"/>
            <w:vAlign w:val="top"/>
          </w:tcPr>
          <w:p w14:paraId="7A8840B0">
            <w:pPr>
              <w:autoSpaceDE w:val="0"/>
              <w:autoSpaceDN w:val="0"/>
              <w:adjustRightInd w:val="0"/>
              <w:spacing w:line="500" w:lineRule="exact"/>
              <w:ind w:firstLine="460" w:firstLineChars="192"/>
              <w:jc w:val="center"/>
              <w:rPr>
                <w:rFonts w:hint="default" w:ascii="宋体" w:hAnsi="Times New Roman" w:eastAsia="宋体" w:cs="宋体"/>
                <w:color w:val="000000"/>
                <w:kern w:val="0"/>
                <w:sz w:val="24"/>
                <w:lang w:val="en-US"/>
              </w:rPr>
            </w:pPr>
            <w:r>
              <w:rPr>
                <w:rFonts w:hint="eastAsia" w:ascii="宋体" w:hAnsi="Times New Roman" w:eastAsia="宋体" w:cs="宋体"/>
                <w:color w:val="000000"/>
                <w:kern w:val="0"/>
                <w:sz w:val="24"/>
                <w:lang w:val="en-US" w:eastAsia="zh-CN"/>
              </w:rPr>
              <w:t>GBW （E）110143</w:t>
            </w:r>
          </w:p>
        </w:tc>
        <w:tc>
          <w:tcPr>
            <w:tcW w:w="2907" w:type="dxa"/>
            <w:noWrap w:val="0"/>
            <w:vAlign w:val="bottom"/>
          </w:tcPr>
          <w:p w14:paraId="2045511E">
            <w:pPr>
              <w:autoSpaceDE w:val="0"/>
              <w:autoSpaceDN w:val="0"/>
              <w:adjustRightInd w:val="0"/>
              <w:spacing w:line="500" w:lineRule="exact"/>
              <w:jc w:val="center"/>
              <w:rPr>
                <w:rFonts w:hint="eastAsia" w:ascii="宋体" w:hAnsi="Times New Roman" w:eastAsia="宋体" w:cs="宋体"/>
                <w:color w:val="000000"/>
                <w:kern w:val="0"/>
                <w:sz w:val="24"/>
              </w:rPr>
            </w:pPr>
            <w:r>
              <w:rPr>
                <w:rFonts w:hint="eastAsia" w:ascii="宋体" w:hAnsi="Times New Roman" w:eastAsia="宋体" w:cs="宋体"/>
                <w:color w:val="000000"/>
                <w:kern w:val="0"/>
                <w:sz w:val="24"/>
              </w:rPr>
              <w:t>0.71</w:t>
            </w:r>
          </w:p>
        </w:tc>
        <w:tc>
          <w:tcPr>
            <w:tcW w:w="2907" w:type="dxa"/>
            <w:noWrap w:val="0"/>
            <w:vAlign w:val="top"/>
          </w:tcPr>
          <w:p w14:paraId="50020E3A">
            <w:pPr>
              <w:autoSpaceDE w:val="0"/>
              <w:autoSpaceDN w:val="0"/>
              <w:adjustRightInd w:val="0"/>
              <w:spacing w:line="500" w:lineRule="exact"/>
              <w:ind w:firstLine="460" w:firstLineChars="192"/>
              <w:jc w:val="center"/>
              <w:rPr>
                <w:rFonts w:hint="default" w:ascii="宋体" w:hAnsi="Times New Roman" w:eastAsia="宋体" w:cs="宋体"/>
                <w:color w:val="000000"/>
                <w:kern w:val="0"/>
                <w:sz w:val="24"/>
                <w:lang w:val="en-US" w:eastAsia="zh-CN"/>
              </w:rPr>
            </w:pPr>
            <w:r>
              <w:rPr>
                <w:rFonts w:hint="eastAsia" w:ascii="宋体" w:hAnsi="Times New Roman" w:eastAsia="宋体" w:cs="宋体"/>
                <w:color w:val="000000"/>
                <w:kern w:val="0"/>
                <w:sz w:val="24"/>
                <w:lang w:val="en-US" w:eastAsia="zh-CN"/>
              </w:rPr>
              <w:t>0.04</w:t>
            </w:r>
          </w:p>
        </w:tc>
      </w:tr>
      <w:tr w14:paraId="35408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6" w:type="dxa"/>
            <w:noWrap w:val="0"/>
            <w:vAlign w:val="top"/>
          </w:tcPr>
          <w:p w14:paraId="6DA4028B">
            <w:pPr>
              <w:autoSpaceDE w:val="0"/>
              <w:autoSpaceDN w:val="0"/>
              <w:adjustRightInd w:val="0"/>
              <w:spacing w:line="500" w:lineRule="exact"/>
              <w:ind w:firstLine="460" w:firstLineChars="192"/>
              <w:jc w:val="center"/>
              <w:rPr>
                <w:rFonts w:hint="default" w:ascii="宋体" w:hAnsi="Times New Roman" w:eastAsia="宋体" w:cs="宋体"/>
                <w:color w:val="000000"/>
                <w:kern w:val="0"/>
                <w:sz w:val="24"/>
                <w:lang w:val="en-US"/>
              </w:rPr>
            </w:pPr>
            <w:r>
              <w:rPr>
                <w:rFonts w:hint="eastAsia" w:ascii="宋体" w:hAnsi="Times New Roman" w:eastAsia="宋体" w:cs="宋体"/>
                <w:color w:val="000000"/>
                <w:kern w:val="0"/>
                <w:sz w:val="24"/>
                <w:lang w:val="en-US" w:eastAsia="zh-CN"/>
              </w:rPr>
              <w:t>GBW （E）110144</w:t>
            </w:r>
          </w:p>
        </w:tc>
        <w:tc>
          <w:tcPr>
            <w:tcW w:w="2907" w:type="dxa"/>
            <w:noWrap w:val="0"/>
            <w:vAlign w:val="bottom"/>
          </w:tcPr>
          <w:p w14:paraId="1044B930">
            <w:pPr>
              <w:autoSpaceDE w:val="0"/>
              <w:autoSpaceDN w:val="0"/>
              <w:adjustRightInd w:val="0"/>
              <w:spacing w:line="500" w:lineRule="exact"/>
              <w:jc w:val="center"/>
              <w:rPr>
                <w:rFonts w:hint="eastAsia" w:ascii="宋体" w:hAnsi="Times New Roman" w:eastAsia="宋体" w:cs="宋体"/>
                <w:color w:val="000000"/>
                <w:kern w:val="0"/>
                <w:sz w:val="24"/>
              </w:rPr>
            </w:pPr>
            <w:r>
              <w:rPr>
                <w:rFonts w:hint="eastAsia" w:ascii="宋体" w:hAnsi="Times New Roman" w:eastAsia="宋体" w:cs="宋体"/>
                <w:color w:val="000000"/>
                <w:kern w:val="0"/>
                <w:sz w:val="24"/>
              </w:rPr>
              <w:t>0.17</w:t>
            </w:r>
          </w:p>
        </w:tc>
        <w:tc>
          <w:tcPr>
            <w:tcW w:w="2907" w:type="dxa"/>
            <w:noWrap w:val="0"/>
            <w:vAlign w:val="top"/>
          </w:tcPr>
          <w:p w14:paraId="1F39099E">
            <w:pPr>
              <w:autoSpaceDE w:val="0"/>
              <w:autoSpaceDN w:val="0"/>
              <w:adjustRightInd w:val="0"/>
              <w:spacing w:line="500" w:lineRule="exact"/>
              <w:ind w:firstLine="460" w:firstLineChars="192"/>
              <w:jc w:val="center"/>
              <w:rPr>
                <w:rFonts w:hint="default" w:ascii="宋体" w:hAnsi="Times New Roman" w:eastAsia="宋体" w:cs="宋体"/>
                <w:color w:val="000000"/>
                <w:kern w:val="0"/>
                <w:sz w:val="24"/>
                <w:lang w:val="en-US" w:eastAsia="zh-CN"/>
              </w:rPr>
            </w:pPr>
            <w:r>
              <w:rPr>
                <w:rFonts w:hint="eastAsia" w:ascii="宋体" w:hAnsi="Times New Roman" w:eastAsia="宋体" w:cs="宋体"/>
                <w:color w:val="000000"/>
                <w:kern w:val="0"/>
                <w:sz w:val="24"/>
                <w:lang w:val="en-US" w:eastAsia="zh-CN"/>
              </w:rPr>
              <w:t>0.02</w:t>
            </w:r>
          </w:p>
        </w:tc>
      </w:tr>
    </w:tbl>
    <w:p w14:paraId="77F9A08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ascii="宋体" w:cs="宋体"/>
          <w:color w:val="000000"/>
          <w:kern w:val="0"/>
          <w:sz w:val="24"/>
        </w:rPr>
      </w:pPr>
      <w:r>
        <w:rPr>
          <w:rFonts w:hint="eastAsia" w:ascii="宋体" w:cs="宋体"/>
          <w:color w:val="000000"/>
          <w:kern w:val="0"/>
          <w:sz w:val="24"/>
        </w:rPr>
        <w:t>温度测量</w:t>
      </w:r>
      <w:r>
        <w:rPr>
          <w:rFonts w:ascii="宋体" w:cs="宋体"/>
          <w:color w:val="000000"/>
          <w:kern w:val="0"/>
          <w:sz w:val="24"/>
        </w:rPr>
        <w:t>标准装置：</w:t>
      </w:r>
      <w:r>
        <w:rPr>
          <w:rFonts w:hint="eastAsia" w:ascii="宋体" w:cs="宋体"/>
          <w:color w:val="000000"/>
          <w:kern w:val="0"/>
          <w:sz w:val="24"/>
        </w:rPr>
        <w:t>扩展不确定度</w:t>
      </w:r>
      <w:r>
        <w:rPr>
          <w:rFonts w:ascii="宋体" w:cs="宋体"/>
          <w:color w:val="000000"/>
          <w:kern w:val="0"/>
          <w:sz w:val="24"/>
        </w:rPr>
        <w:t>不大于</w:t>
      </w:r>
      <w:r>
        <w:rPr>
          <w:rFonts w:hint="eastAsia" w:ascii="宋体" w:cs="宋体"/>
          <w:color w:val="000000"/>
          <w:kern w:val="0"/>
          <w:sz w:val="24"/>
        </w:rPr>
        <w:t>被测</w:t>
      </w:r>
      <w:r>
        <w:rPr>
          <w:rFonts w:ascii="宋体" w:cs="宋体"/>
          <w:color w:val="000000"/>
          <w:kern w:val="0"/>
          <w:sz w:val="24"/>
        </w:rPr>
        <w:t>对象</w:t>
      </w:r>
      <w:r>
        <w:rPr>
          <w:rFonts w:hint="eastAsia" w:ascii="宋体" w:cs="宋体"/>
          <w:color w:val="000000"/>
          <w:kern w:val="0"/>
          <w:sz w:val="24"/>
        </w:rPr>
        <w:t>允许值</w:t>
      </w:r>
      <w:r>
        <w:rPr>
          <w:rFonts w:ascii="宋体" w:cs="宋体"/>
          <w:color w:val="000000"/>
          <w:kern w:val="0"/>
          <w:sz w:val="24"/>
        </w:rPr>
        <w:t>的</w:t>
      </w:r>
      <w:r>
        <w:rPr>
          <w:rFonts w:hint="eastAsia" w:ascii="宋体" w:cs="宋体"/>
          <w:color w:val="000000"/>
          <w:kern w:val="0"/>
          <w:sz w:val="24"/>
        </w:rPr>
        <w:t>1/3。</w:t>
      </w:r>
    </w:p>
    <w:p w14:paraId="3C6AA126">
      <w:pPr>
        <w:autoSpaceDE w:val="0"/>
        <w:autoSpaceDN w:val="0"/>
        <w:adjustRightInd w:val="0"/>
        <w:spacing w:line="500" w:lineRule="exact"/>
        <w:ind w:firstLine="460" w:firstLineChars="192"/>
        <w:rPr>
          <w:rFonts w:hint="eastAsia" w:ascii="宋体" w:cs="宋体"/>
          <w:color w:val="000000"/>
          <w:kern w:val="0"/>
          <w:sz w:val="24"/>
        </w:rPr>
      </w:pPr>
      <w:r>
        <w:rPr>
          <w:rFonts w:hint="eastAsia" w:ascii="宋体" w:cs="宋体"/>
          <w:color w:val="000000"/>
          <w:kern w:val="0"/>
          <w:sz w:val="24"/>
        </w:rPr>
        <w:t>2．试验方法：</w:t>
      </w:r>
    </w:p>
    <w:p w14:paraId="28AB89BC">
      <w:pPr>
        <w:autoSpaceDE w:val="0"/>
        <w:autoSpaceDN w:val="0"/>
        <w:adjustRightInd w:val="0"/>
        <w:spacing w:line="500" w:lineRule="exact"/>
        <w:ind w:firstLine="460" w:firstLineChars="192"/>
        <w:rPr>
          <w:rFonts w:hint="eastAsia" w:ascii="宋体" w:cs="宋体"/>
          <w:color w:val="000000"/>
          <w:kern w:val="0"/>
          <w:sz w:val="24"/>
        </w:rPr>
      </w:pPr>
      <w:r>
        <w:rPr>
          <w:rFonts w:hint="eastAsia" w:ascii="宋体" w:cs="宋体"/>
          <w:color w:val="000000"/>
          <w:kern w:val="0"/>
          <w:sz w:val="24"/>
        </w:rPr>
        <w:t>微量法残炭</w:t>
      </w:r>
      <w:r>
        <w:rPr>
          <w:rFonts w:ascii="宋体" w:cs="宋体"/>
          <w:color w:val="000000"/>
          <w:kern w:val="0"/>
          <w:sz w:val="24"/>
        </w:rPr>
        <w:t>测定仪</w:t>
      </w:r>
      <w:r>
        <w:rPr>
          <w:rFonts w:hint="eastAsia" w:ascii="宋体" w:cs="宋体"/>
          <w:color w:val="000000"/>
          <w:kern w:val="0"/>
          <w:sz w:val="24"/>
        </w:rPr>
        <w:t>的</w:t>
      </w:r>
      <w:r>
        <w:rPr>
          <w:rFonts w:ascii="宋体" w:cs="宋体"/>
          <w:color w:val="000000"/>
          <w:kern w:val="0"/>
          <w:sz w:val="24"/>
        </w:rPr>
        <w:t>校准分为成焦箱的箱体温度</w:t>
      </w:r>
      <w:r>
        <w:rPr>
          <w:rFonts w:hint="eastAsia" w:ascii="宋体" w:cs="宋体"/>
          <w:color w:val="000000"/>
          <w:kern w:val="0"/>
          <w:sz w:val="24"/>
        </w:rPr>
        <w:t>校准</w:t>
      </w:r>
      <w:r>
        <w:rPr>
          <w:rFonts w:ascii="宋体" w:cs="宋体"/>
          <w:color w:val="000000"/>
          <w:kern w:val="0"/>
          <w:sz w:val="24"/>
        </w:rPr>
        <w:t>和整机的校准</w:t>
      </w:r>
      <w:r>
        <w:rPr>
          <w:rFonts w:hint="eastAsia" w:ascii="宋体" w:cs="宋体"/>
          <w:color w:val="000000"/>
          <w:kern w:val="0"/>
          <w:sz w:val="24"/>
        </w:rPr>
        <w:t>。使用温度</w:t>
      </w:r>
      <w:r>
        <w:rPr>
          <w:rFonts w:ascii="宋体" w:cs="宋体"/>
          <w:color w:val="000000"/>
          <w:kern w:val="0"/>
          <w:sz w:val="24"/>
        </w:rPr>
        <w:t>测量标准装置对</w:t>
      </w:r>
      <w:r>
        <w:rPr>
          <w:rFonts w:hint="eastAsia" w:ascii="宋体" w:cs="宋体"/>
          <w:color w:val="000000"/>
          <w:kern w:val="0"/>
          <w:sz w:val="24"/>
        </w:rPr>
        <w:t>成</w:t>
      </w:r>
      <w:r>
        <w:rPr>
          <w:rFonts w:ascii="宋体" w:cs="宋体"/>
          <w:color w:val="000000"/>
          <w:kern w:val="0"/>
          <w:sz w:val="24"/>
        </w:rPr>
        <w:t>焦箱的箱体</w:t>
      </w:r>
      <w:r>
        <w:rPr>
          <w:rFonts w:hint="eastAsia" w:ascii="宋体" w:cs="宋体"/>
          <w:color w:val="000000"/>
          <w:kern w:val="0"/>
          <w:sz w:val="24"/>
        </w:rPr>
        <w:t>进行温度</w:t>
      </w:r>
      <w:r>
        <w:rPr>
          <w:rFonts w:ascii="宋体" w:cs="宋体"/>
          <w:color w:val="000000"/>
          <w:kern w:val="0"/>
          <w:sz w:val="24"/>
        </w:rPr>
        <w:t>均匀</w:t>
      </w:r>
      <w:r>
        <w:rPr>
          <w:rFonts w:hint="eastAsia" w:ascii="宋体" w:cs="宋体"/>
          <w:color w:val="000000"/>
          <w:kern w:val="0"/>
          <w:sz w:val="24"/>
        </w:rPr>
        <w:t>度、</w:t>
      </w:r>
      <w:r>
        <w:rPr>
          <w:rFonts w:ascii="宋体" w:cs="宋体"/>
          <w:color w:val="000000"/>
          <w:kern w:val="0"/>
          <w:sz w:val="24"/>
        </w:rPr>
        <w:t>温度稳定度和</w:t>
      </w:r>
      <w:r>
        <w:rPr>
          <w:rFonts w:hint="eastAsia" w:ascii="宋体" w:cs="宋体"/>
          <w:color w:val="000000"/>
          <w:kern w:val="0"/>
          <w:sz w:val="24"/>
        </w:rPr>
        <w:t>温度</w:t>
      </w:r>
      <w:r>
        <w:rPr>
          <w:rFonts w:ascii="宋体" w:cs="宋体"/>
          <w:color w:val="000000"/>
          <w:kern w:val="0"/>
          <w:sz w:val="24"/>
        </w:rPr>
        <w:t>示值误差的</w:t>
      </w:r>
      <w:r>
        <w:rPr>
          <w:rFonts w:hint="eastAsia" w:ascii="宋体" w:cs="宋体"/>
          <w:color w:val="000000"/>
          <w:kern w:val="0"/>
          <w:sz w:val="24"/>
        </w:rPr>
        <w:t>校准</w:t>
      </w:r>
      <w:r>
        <w:rPr>
          <w:rFonts w:ascii="宋体" w:cs="宋体"/>
          <w:color w:val="000000"/>
          <w:kern w:val="0"/>
          <w:sz w:val="24"/>
        </w:rPr>
        <w:t>，使用国家有证残炭</w:t>
      </w:r>
      <w:r>
        <w:rPr>
          <w:rFonts w:hint="eastAsia" w:ascii="宋体" w:cs="宋体"/>
          <w:color w:val="000000"/>
          <w:kern w:val="0"/>
          <w:sz w:val="24"/>
        </w:rPr>
        <w:t>标准</w:t>
      </w:r>
      <w:r>
        <w:rPr>
          <w:rFonts w:ascii="宋体" w:cs="宋体"/>
          <w:color w:val="000000"/>
          <w:kern w:val="0"/>
          <w:sz w:val="24"/>
        </w:rPr>
        <w:t>物质</w:t>
      </w:r>
      <w:r>
        <w:rPr>
          <w:rFonts w:hint="eastAsia" w:ascii="宋体" w:cs="宋体"/>
          <w:color w:val="000000"/>
          <w:kern w:val="0"/>
          <w:sz w:val="24"/>
        </w:rPr>
        <w:t>对</w:t>
      </w:r>
      <w:r>
        <w:rPr>
          <w:rFonts w:ascii="宋体" w:cs="宋体"/>
          <w:color w:val="000000"/>
          <w:kern w:val="0"/>
          <w:sz w:val="24"/>
        </w:rPr>
        <w:t>微量测定仪整机</w:t>
      </w:r>
      <w:r>
        <w:rPr>
          <w:rFonts w:hint="eastAsia" w:ascii="宋体" w:cs="宋体"/>
          <w:color w:val="000000"/>
          <w:kern w:val="0"/>
          <w:sz w:val="24"/>
        </w:rPr>
        <w:t>的</w:t>
      </w:r>
      <w:r>
        <w:rPr>
          <w:rFonts w:ascii="宋体" w:cs="宋体"/>
          <w:color w:val="000000"/>
          <w:kern w:val="0"/>
          <w:sz w:val="24"/>
        </w:rPr>
        <w:t>示值误差和</w:t>
      </w:r>
      <w:r>
        <w:rPr>
          <w:rFonts w:hint="eastAsia" w:ascii="宋体" w:cs="宋体"/>
          <w:color w:val="000000"/>
          <w:kern w:val="0"/>
          <w:sz w:val="24"/>
        </w:rPr>
        <w:t>重复性</w:t>
      </w:r>
      <w:r>
        <w:rPr>
          <w:rFonts w:ascii="宋体" w:cs="宋体"/>
          <w:color w:val="000000"/>
          <w:kern w:val="0"/>
          <w:sz w:val="24"/>
        </w:rPr>
        <w:t>进行校准</w:t>
      </w:r>
      <w:r>
        <w:rPr>
          <w:rFonts w:hint="eastAsia" w:ascii="宋体" w:cs="宋体"/>
          <w:color w:val="000000"/>
          <w:kern w:val="0"/>
          <w:sz w:val="24"/>
        </w:rPr>
        <w:t>。在</w:t>
      </w:r>
      <w:r>
        <w:rPr>
          <w:rFonts w:ascii="宋体" w:cs="宋体"/>
          <w:color w:val="000000"/>
          <w:kern w:val="0"/>
          <w:sz w:val="24"/>
        </w:rPr>
        <w:t>校准前</w:t>
      </w:r>
      <w:r>
        <w:rPr>
          <w:rFonts w:hint="eastAsia" w:ascii="宋体" w:cs="宋体"/>
          <w:color w:val="000000"/>
          <w:kern w:val="0"/>
          <w:sz w:val="24"/>
        </w:rPr>
        <w:t>确认</w:t>
      </w:r>
      <w:r>
        <w:rPr>
          <w:rFonts w:ascii="宋体" w:cs="宋体"/>
          <w:color w:val="000000"/>
          <w:kern w:val="0"/>
          <w:sz w:val="24"/>
        </w:rPr>
        <w:t>称量用天平分度值</w:t>
      </w:r>
      <w:r>
        <w:rPr>
          <w:rFonts w:hint="eastAsia" w:ascii="宋体" w:cs="宋体"/>
          <w:color w:val="000000"/>
          <w:kern w:val="0"/>
          <w:sz w:val="24"/>
        </w:rPr>
        <w:t>0.1</w:t>
      </w:r>
      <w:r>
        <w:rPr>
          <w:rFonts w:ascii="宋体" w:cs="宋体"/>
          <w:color w:val="000000"/>
          <w:kern w:val="0"/>
          <w:sz w:val="24"/>
        </w:rPr>
        <w:t>mg</w:t>
      </w:r>
      <w:r>
        <w:rPr>
          <w:rFonts w:hint="eastAsia" w:ascii="宋体" w:cs="宋体"/>
          <w:color w:val="000000"/>
          <w:kern w:val="0"/>
          <w:sz w:val="24"/>
        </w:rPr>
        <w:t>，</w:t>
      </w:r>
      <w:r>
        <w:rPr>
          <w:rFonts w:ascii="宋体" w:cs="宋体"/>
          <w:color w:val="000000"/>
          <w:kern w:val="0"/>
          <w:sz w:val="24"/>
        </w:rPr>
        <w:t>经过检定并且合格</w:t>
      </w:r>
      <w:r>
        <w:rPr>
          <w:rFonts w:hint="eastAsia" w:ascii="宋体" w:cs="宋体"/>
          <w:color w:val="000000"/>
          <w:kern w:val="0"/>
          <w:sz w:val="24"/>
        </w:rPr>
        <w:t>；确认使用</w:t>
      </w:r>
      <w:r>
        <w:rPr>
          <w:rFonts w:ascii="宋体" w:cs="宋体"/>
          <w:color w:val="000000"/>
          <w:kern w:val="0"/>
          <w:sz w:val="24"/>
        </w:rPr>
        <w:t>氮气</w:t>
      </w:r>
      <w:r>
        <w:rPr>
          <w:rFonts w:hint="eastAsia" w:ascii="宋体" w:cs="宋体"/>
          <w:color w:val="000000"/>
          <w:kern w:val="0"/>
          <w:sz w:val="24"/>
        </w:rPr>
        <w:t>纯度在98.5%以上，</w:t>
      </w:r>
      <w:r>
        <w:rPr>
          <w:rFonts w:ascii="宋体" w:cs="宋体"/>
          <w:color w:val="000000"/>
          <w:kern w:val="0"/>
          <w:sz w:val="24"/>
        </w:rPr>
        <w:t>打开气源后，流量表示数平稳</w:t>
      </w:r>
      <w:r>
        <w:rPr>
          <w:rFonts w:hint="eastAsia" w:ascii="宋体" w:cs="宋体"/>
          <w:color w:val="000000"/>
          <w:kern w:val="0"/>
          <w:sz w:val="24"/>
        </w:rPr>
        <w:t>；</w:t>
      </w:r>
      <w:r>
        <w:rPr>
          <w:rFonts w:ascii="宋体" w:cs="宋体"/>
          <w:color w:val="000000"/>
          <w:kern w:val="0"/>
          <w:sz w:val="24"/>
        </w:rPr>
        <w:t>确认干燥器</w:t>
      </w:r>
      <w:r>
        <w:rPr>
          <w:rFonts w:hint="eastAsia" w:ascii="宋体" w:cs="宋体"/>
          <w:color w:val="000000"/>
          <w:kern w:val="0"/>
          <w:sz w:val="24"/>
        </w:rPr>
        <w:t>密封</w:t>
      </w:r>
      <w:r>
        <w:rPr>
          <w:rFonts w:ascii="宋体" w:cs="宋体"/>
          <w:color w:val="000000"/>
          <w:kern w:val="0"/>
          <w:sz w:val="24"/>
        </w:rPr>
        <w:t>良好，处于正常使用状态。</w:t>
      </w:r>
      <w:r>
        <w:rPr>
          <w:rFonts w:hint="eastAsia" w:ascii="宋体" w:cs="宋体"/>
          <w:color w:val="000000"/>
          <w:kern w:val="0"/>
          <w:sz w:val="24"/>
        </w:rPr>
        <w:t>按照说明书推荐条件调整流量</w:t>
      </w:r>
      <w:r>
        <w:rPr>
          <w:rFonts w:ascii="宋体" w:cs="宋体"/>
          <w:color w:val="000000"/>
          <w:kern w:val="0"/>
          <w:sz w:val="24"/>
        </w:rPr>
        <w:t>和升温程序</w:t>
      </w:r>
      <w:r>
        <w:rPr>
          <w:rFonts w:hint="eastAsia" w:ascii="宋体" w:cs="宋体"/>
          <w:color w:val="000000"/>
          <w:kern w:val="0"/>
          <w:sz w:val="24"/>
        </w:rPr>
        <w:t>，温度平稳</w:t>
      </w:r>
      <w:r>
        <w:rPr>
          <w:rFonts w:ascii="宋体" w:cs="宋体"/>
          <w:color w:val="000000"/>
          <w:kern w:val="0"/>
          <w:sz w:val="24"/>
        </w:rPr>
        <w:t>后开始校准</w:t>
      </w:r>
      <w:r>
        <w:rPr>
          <w:rFonts w:hint="eastAsia" w:ascii="宋体" w:cs="宋体"/>
          <w:color w:val="000000"/>
          <w:kern w:val="0"/>
          <w:sz w:val="24"/>
        </w:rPr>
        <w:t>。</w:t>
      </w:r>
    </w:p>
    <w:p w14:paraId="64DDC5E8">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0" w:leftChars="0" w:firstLine="480" w:firstLineChars="200"/>
        <w:textAlignment w:val="auto"/>
        <w:rPr>
          <w:rFonts w:hint="eastAsia" w:ascii="宋体" w:cs="宋体"/>
          <w:color w:val="000000"/>
          <w:kern w:val="0"/>
          <w:sz w:val="24"/>
          <w:lang w:val="en-US" w:eastAsia="zh-CN"/>
        </w:rPr>
      </w:pPr>
      <w:r>
        <w:rPr>
          <w:rFonts w:hint="eastAsia" w:ascii="宋体" w:hAnsi="宋体"/>
          <w:sz w:val="24"/>
          <w:lang w:eastAsia="zh-CN"/>
        </w:rPr>
        <w:t>成焦箱是一个圆柱体，底部是圆形，直径为（</w:t>
      </w:r>
      <w:r>
        <w:rPr>
          <w:rFonts w:hint="eastAsia" w:ascii="宋体" w:hAnsi="宋体"/>
          <w:sz w:val="24"/>
          <w:lang w:val="en-US" w:eastAsia="zh-CN"/>
        </w:rPr>
        <w:t>87±3</w:t>
      </w:r>
      <w:r>
        <w:rPr>
          <w:rFonts w:hint="eastAsia" w:ascii="宋体" w:hAnsi="宋体"/>
          <w:sz w:val="24"/>
          <w:lang w:eastAsia="zh-CN"/>
        </w:rPr>
        <w:t>）</w:t>
      </w:r>
      <w:r>
        <w:rPr>
          <w:rFonts w:hint="eastAsia" w:ascii="宋体" w:hAnsi="宋体"/>
          <w:sz w:val="24"/>
          <w:lang w:val="en-US" w:eastAsia="zh-CN"/>
        </w:rPr>
        <w:t>mm,高</w:t>
      </w:r>
      <w:r>
        <w:rPr>
          <w:rFonts w:hint="eastAsia" w:ascii="宋体" w:hAnsi="宋体"/>
          <w:sz w:val="24"/>
          <w:lang w:eastAsia="zh-CN"/>
        </w:rPr>
        <w:t>（</w:t>
      </w:r>
      <w:r>
        <w:rPr>
          <w:rFonts w:hint="eastAsia" w:ascii="宋体" w:hAnsi="宋体"/>
          <w:sz w:val="24"/>
          <w:lang w:val="en-US" w:eastAsia="zh-CN"/>
        </w:rPr>
        <w:t>105±5</w:t>
      </w:r>
      <w:r>
        <w:rPr>
          <w:rFonts w:hint="eastAsia" w:ascii="宋体" w:hAnsi="宋体"/>
          <w:sz w:val="24"/>
          <w:lang w:eastAsia="zh-CN"/>
        </w:rPr>
        <w:t>）</w:t>
      </w:r>
      <w:r>
        <w:rPr>
          <w:rFonts w:hint="eastAsia" w:ascii="宋体" w:hAnsi="宋体"/>
          <w:sz w:val="24"/>
          <w:lang w:val="en-US" w:eastAsia="zh-CN"/>
        </w:rPr>
        <w:t>mm，在圆心位置有</w:t>
      </w:r>
      <w:r>
        <w:rPr>
          <w:rFonts w:hint="eastAsia" w:ascii="宋体" w:hAnsi="宋体"/>
          <w:sz w:val="24"/>
          <w:lang w:eastAsia="zh-CN"/>
        </w:rPr>
        <w:t>（</w:t>
      </w:r>
      <w:r>
        <w:rPr>
          <w:rFonts w:hint="eastAsia" w:ascii="宋体" w:hAnsi="宋体"/>
          <w:sz w:val="24"/>
          <w:lang w:val="en-US" w:eastAsia="zh-CN"/>
        </w:rPr>
        <w:t>13±1</w:t>
      </w:r>
      <w:r>
        <w:rPr>
          <w:rFonts w:hint="eastAsia" w:ascii="宋体" w:hAnsi="宋体"/>
          <w:sz w:val="24"/>
          <w:lang w:eastAsia="zh-CN"/>
        </w:rPr>
        <w:t>）</w:t>
      </w:r>
      <w:r>
        <w:rPr>
          <w:rFonts w:hint="eastAsia" w:ascii="宋体" w:hAnsi="宋体"/>
          <w:sz w:val="24"/>
          <w:lang w:val="en-US" w:eastAsia="zh-CN"/>
        </w:rPr>
        <w:t>mm的圆孔，用于导出冷凝物。虽然</w:t>
      </w:r>
      <w:r>
        <w:rPr>
          <w:rFonts w:hint="eastAsia" w:ascii="宋体" w:cs="宋体"/>
          <w:color w:val="000000"/>
          <w:kern w:val="0"/>
          <w:sz w:val="24"/>
        </w:rPr>
        <w:t>GB/T17144</w:t>
      </w:r>
      <w:r>
        <w:rPr>
          <w:rFonts w:ascii="宋体" w:cs="宋体"/>
          <w:color w:val="000000"/>
          <w:kern w:val="0"/>
          <w:sz w:val="24"/>
        </w:rPr>
        <w:t>-2021</w:t>
      </w:r>
      <w:r>
        <w:rPr>
          <w:rFonts w:hint="eastAsia" w:ascii="宋体" w:cs="宋体"/>
          <w:color w:val="000000"/>
          <w:kern w:val="0"/>
          <w:sz w:val="24"/>
        </w:rPr>
        <w:t>《石油产品残炭测定法（微量法）》</w:t>
      </w:r>
      <w:r>
        <w:rPr>
          <w:rFonts w:hint="eastAsia" w:ascii="宋体" w:cs="宋体"/>
          <w:color w:val="000000"/>
          <w:kern w:val="0"/>
          <w:sz w:val="24"/>
          <w:lang w:eastAsia="zh-CN"/>
        </w:rPr>
        <w:t>对温度传感器的位置有规定，见图</w:t>
      </w:r>
      <w:r>
        <w:rPr>
          <w:rFonts w:hint="eastAsia" w:ascii="宋体" w:cs="宋体"/>
          <w:color w:val="000000"/>
          <w:kern w:val="0"/>
          <w:sz w:val="24"/>
          <w:lang w:val="en-US" w:eastAsia="zh-CN"/>
        </w:rPr>
        <w:t>2，但由于微量法残炭测定仪生产厂家众多，国内国外品牌均有，因此温度传感器的位置有所不同，除了标准规定的位置，如图3。</w:t>
      </w:r>
    </w:p>
    <w:p w14:paraId="0F585828">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0" w:leftChars="0" w:firstLine="480" w:firstLineChars="200"/>
        <w:textAlignment w:val="auto"/>
        <w:rPr>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4959985</wp:posOffset>
                </wp:positionH>
                <wp:positionV relativeFrom="paragraph">
                  <wp:posOffset>1221740</wp:posOffset>
                </wp:positionV>
                <wp:extent cx="304165" cy="191770"/>
                <wp:effectExtent l="9525" t="9525" r="10160" b="27305"/>
                <wp:wrapNone/>
                <wp:docPr id="8" name="墨迹 8"/>
                <wp:cNvGraphicFramePr>
                  <a:graphicFrameLocks xmlns:a="http://schemas.openxmlformats.org/drawingml/2006/main" noGrp="1"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clr" r:id="rId5">
                          <w14:nvContentPartPr>
                            <w14:cNvPr id="8" name="墨迹 8"/>
                            <w14:cNvContentPartPr>
                              <a14:cpLocks xmlns:a14="http://schemas.microsoft.com/office/drawing/2010/main" noGrp="1" noChangeAspect="1"/>
                            </w14:cNvContentPartPr>
                          </w14:nvContentPartPr>
                          <w14:xfrm>
                            <a:off x="6040120" y="7574280"/>
                            <a:ext cx="304165" cy="191770"/>
                          </w14:xfrm>
                        </w14:contentPart>
                      </mc:Choice>
                    </mc:AlternateContent>
                  </a:graphicData>
                </a:graphic>
              </wp:anchor>
            </w:drawing>
          </mc:Choice>
          <mc:Fallback>
            <w:pict>
              <v:shape id="_x0000_s1026" o:spid="_x0000_s1026" o:spt="75" style="position:absolute;left:0pt;margin-left:390.55pt;margin-top:96.2pt;height:15.1pt;width:23.95pt;z-index:251662336;mso-width-relative:page;mso-height-relative:page;" coordsize="21600,21600" o:gfxdata="UEsDBAoAAAAAAIdO4kAAAAAAAAAAAAAAAAAEAAAAZHJzL1BLAwQUAAAACACHTuJAwW076doAAAAL&#10;AQAADwAAAGRycy9kb3ducmV2LnhtbE2Py07DMBBF90j8gzVI7KgTU8CEOBUqAsSOvtQup7FJImI7&#10;st028PUMK1jO3KM7Z8rZaHt2NCF23inIJxkw42qvO9coWK+erySwmNBp7L0zCr5MhFl1flZiof3J&#10;LcxxmRpGJS4WqKBNaSg4j3VrLMaJH4yj7MMHi4nG0HAd8ETltuciy265xc7RhRYHM29N/bk8WAWv&#10;i+3jRr7fbJ5wfIlh/e3nb7udUpcXefYALJkx/cHwq0/qUJHT3h+cjqxXcCfznFAK7sUUGBHyWtBm&#10;r0AIOQVelfz/D9UPUEsDBBQAAAAIAIdO4kA4pyVKzwEAABAEAAAOAAAAZHJzL2Uyb0RvYy54bWyt&#10;U0Fu2zAQvBfoHwjea5GKbDmC6aCI0SJAm/rQPoChKEuISApL2nK+01O/0FNfU6DP6EqyasdFAKPo&#10;TeQuZ2d2RoubvanJToOvnBWUTxgl2iqXV3Yj6JfP797MKfFB2lzWzmpBn7SnN8vXrxZtk+nYla7O&#10;NRAEsT5rG0HLEJosirwqtZF+4hptsVg4MDLgETZRDrJFdFNHMWOzqHWQN+CU9h5vV0ORHhDhEkBX&#10;FJXSK6e2RtswoIKuZUBJvqwaT5c926LQKnwqCq8DqQW9nsZTSsL4gaM44zPU/yBonF6xKY2WC5lt&#10;QDZlpQ6E5CWEzhQaWVmk8AdqJYMkW6j+gjKVAuddESbKmWiQ1e8HNXF2tqk7+9jp4onaQqacDah9&#10;LSGMXvSFfxlhalxB+9Hl6Laq4T9bQSCrckHhLudH+nZ3exSwhqOs+90aSNePKbTSIKOfX7/9+vGd&#10;zDtzRvH3588lTzLVfHDq0Y++8eSyXRy8GzbeO0esew+YbI4U3G0p7Ua/9Q1GqbtCFtGLNMbKS/L2&#10;BZguF+g02Qs6YwnjMQbwSdB0mibxnA0R1PtAFDZcsYTPMLMKG/g1T9O+Pk4Z0MbTSSKQ4rPsnZ47&#10;+ic/8vI3UEsDBAoAAAAAAIdO4kAAAAAAAAAAAAAAAAAIAAAAZHJzL2luay9QSwMEFAAAAAgAh07i&#10;QBNFaSm1BQAAKQ0AABAAAABkcnMvaW5rL2luazEueG1stVZNb9tGEL0X6H8gmEMuEjX7zTXi5Bag&#10;QAsUTQq0R0VmbCH6MCg6dv5935tdUQniHAq0F5vL2Zl58+bNUK/ePO13zedhPG2Ph+vWdNI2w2Fz&#10;vNkebq/bP9+/XfZtc5rWh5v17ngYrtsvw6l98/rnn15tD5/2uyv8bRDhcOLTfnfd3k3T/dVq9fj4&#10;2D267jjerqyIW/1y+PTbr+3r6nUzfNwethNSns6vNsfDNDxNDHa1vbluN9OTzPcR+93xYdwMs5lv&#10;xs3lxjSuN8Pb47hfT3PEu/XhMOyaw3oP3H+1zfTlHg9b5LkdxrZ5AIITEu3b1fMuf/97l7ffuezX&#10;T6BVrJsT3gyfmXGlhF39GPjv4/F+GKftcOGoVFQNX5pNOWtxpcpxOB13DyS2bT6vdw+o1/ad89GH&#10;GLPNxvkZh1k9U/r3scHC/xYbdP0wNoRYO2RW31JWy/6an0rmrJNzQ6ftfoB69/ezcKYTAvP1u2lU&#10;jVuxYSn9UtJ7465cvrLmq/ZUWZ7jfRgfTndzrA/jRYBqmdkrVT1ub6a7uRHSSUAHskcvrERvMVnP&#10;aPC5QHfD9vZu+i8ibY67I7RftfHiYy9R5DIAzyXf3h6O4/A7pHV6GIfZV70q7+o2S/qZ6VaVN5XM&#10;P4aP1+0LHfBGPcsLZdNYa2InIk0vKVh9SjEtXoI9kZexs86/lEUrXXC5XUpnfN8u/cJ2LsfGdC7Y&#10;xi7w3qGlpjMBLxfSRSeNdNYmPXnnGstIS9r64OAYomsEJ5FMP9yQBR5ycEvbZbhbGG3OuCohwOg6&#10;E3nyhmGQEXHoKZZH0yUT8Nf2WcPmPuCuDQIAuOudRdhog4btgye60DMnHvqIYwI8x6NJDIQNAqvp&#10;QAuMHoA0UJIEo0cJBN/3jsGFRZsuBoOrvQEs2Az+42RFTyELM5WUrD7SMcKBZVoC8JaVAIg1sDE/&#10;Tznwps1Iu0AJJtGYjGkcjM4RnPXFsZxcAKFgy6eeDKSC1IIA3DSGYRjdwtH1zIEjSsYxZvK8dJ1E&#10;ZQCiUGvs6SuCeLycPBFJrm1IgYggCy0lJfDfBeRWapP1MMZk4UqCAKbLvS+SSaU0cKIK8gF7AdUn&#10;yAsYEhUEggtDkUnIkF61jlcjxKZZhE3XY8V7IZfNAp+UQoXkDKvJoF7pdexSEhIB9Rv1hLCU3UDw&#10;RbaI0KMHqNvlhvKXXlmAA4VqpJBgiA8qNui6zpI2FIRRqFAvjUHoiToJnncJj1YtLTgKpaiPlxOT&#10;9rYvgcUhA5AQPN7HnDBY6AyslCxaAqmyT7AJRZ7RaJ5c1DHDsChAgSzhqBpjlh6txkBROQiLeSWk&#10;6ItrIiJMKIxoba8iB4JCfRGrDrMCRTqOUrHip4iixCySJGjQQYNlQgUjgLZ4CBE28bEJtUm4GfF9&#10;KBIgHrFkjFJWeAZ6B8jzHjCZl8+zFKOvk87plUidnyfLYoEguAFpDJuhd9TuKpk9pAsSYiJFdGL3&#10;Mc0lacI1YOjrADnMfGmT7inDNJQuAFpMCLR2Boi1410DQSNA6TCu2c5nkMFhy1AZjo49xI7DqKDB&#10;mEe966jaswSZj0eDNUbOTGKHpS5Sx7dMCk+Ots4hNhsQMSxlnpFEZU4mtUuUjSurUhcFwXOq6t4C&#10;dlVRMBoHS7+woKsS+knsi/GVwBSZpKxy6E/5O38QPAXD+aIwKHoShi9M4TroYuBXSK3GsRRalU6t&#10;V6eJcL0u5GrkNCkJ6hpADcsugfA/cofwVAaC5BXbMnQZM6/HQgnmrxgthttTo9URJZWqmVL50u7W&#10;OKDPamVIosakuijQgW42lmmRWjbq5MxXeBQCvo9zXFQNIepHgUm5zQ13syLCXbrWpGQIMs8XEgi3&#10;VqYqSTqwBS5H/isSEFD1VWvB0fN7Mh+NfJM05DNj+p0Uc2aXYoz4PKgrEUEF/LRVBjmGl6zcU2eb&#10;fPOrfP5Bg5+Vr/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KAAAAAACHTuJAAAAAAAAAAAAAAAAACgAAAGRycy9fcmVscy9QSwME&#10;FAAAAAgAh07iQHkYvJ24AAAAIQEAABkAAABkcnMvX3JlbHMvZTJvRG9jLnhtbC5yZWxzhc+xasQw&#10;DAbgvdB3MNobJR3KUeJkOQ6ylhRuNY6SmMSysZzSe/t67MHBDRqE0PdLbf/rd/VDSVxgDU1VgyK2&#10;YXK8aPgeL28nUJINT2YPTBpuJNB3ry/tF+0mlyVZXRRVFBYNa87xE1HsSt5IFSJxmcwheZNLmxaM&#10;xm5mIXyv6w9M/w3o7kw1TBrSMDWgxlssyc/tMM/O0jnYwxPnBxFoD8nBX/1eUJMWyhocb1iqqcqh&#10;gF2Ld491f1BLAwQUAAAACACHTuJAAxUp2gUBAAAtAgAAEwAAAFtDb250ZW50X1R5cGVzXS54bWyV&#10;kcFOwzAQRO9I/IPlK0qc9oAQatIDKUdAqHyAZW8Sq/ba8prQ/j1O2l4QpeLgg70zb0br1XrvLBsh&#10;kvFY80VZcQaovDbY1/xj+1w8cEZJopbWI9T8AMTXze3NansIQCy7kWo+pBQehSA1gJNU+gCYJ52P&#10;TqZ8jb0IUu1kD2JZVfdCeUyAqUgTgzerFjr5aRPb7PPzsUkES5w9HYVTVs1lCNYomXJTMaL+kVKc&#10;EsrsnDU0mEB3uQYXvyZMk8sBJ99rXk00GtibjOlFulxD6EhC+y+MMJZ/Q6aWjgrfdUZB2UZqs+0d&#10;xnOrS3RY+tar/8I3s+sa2+BO5LO4Qs8SZ88sMX928w1QSwECFAAUAAAACACHTuJAAxUp2gUBAAAt&#10;AgAAEwAAAAAAAAABACAAAABiCwAAW0NvbnRlbnRfVHlwZXNdLnhtbFBLAQIUAAoAAAAAAIdO4kAA&#10;AAAAAAAAAAAAAAAGAAAAAAAAAAAAEAAAAC0JAABfcmVscy9QSwECFAAUAAAACACHTuJAihRmPNEA&#10;AACUAQAACwAAAAAAAAABACAAAABRCQAAX3JlbHMvLnJlbHNQSwECFAAKAAAAAACHTuJAAAAAAAAA&#10;AAAAAAAABAAAAAAAAAAAABAAAAAAAAAAZHJzL1BLAQIUAAoAAAAAAIdO4kAAAAAAAAAAAAAAAAAK&#10;AAAAAAAAAAAAEAAAAEsKAABkcnMvX3JlbHMvUEsBAhQAFAAAAAgAh07iQHkYvJ24AAAAIQEAABkA&#10;AAAAAAAAAQAgAAAAcwoAAGRycy9fcmVscy9lMm9Eb2MueG1sLnJlbHNQSwECFAAUAAAACACHTuJA&#10;wW076doAAAALAQAADwAAAAAAAAABACAAAAAiAAAAZHJzL2Rvd25yZXYueG1sUEsBAhQAFAAAAAgA&#10;h07iQDinJUrPAQAAEAQAAA4AAAAAAAAAAQAgAAAAKQEAAGRycy9lMm9Eb2MueG1sUEsBAhQACgAA&#10;AAAAh07iQAAAAAAAAAAAAAAAAAgAAAAAAAAAAAAQAAAAJAMAAGRycy9pbmsvUEsBAhQAFAAAAAgA&#10;h07iQBNFaSm1BQAAKQ0AABAAAAAAAAAAAQAgAAAASgMAAGRycy9pbmsvaW5rMS54bWxQSwUGAAAA&#10;AAoACgBMAgAAmAwAAAAA&#10;">
                <v:imagedata r:id="rId6" o:title=""/>
                <o:lock v:ext="edit"/>
              </v:shape>
            </w:pict>
          </mc:Fallback>
        </mc:AlternateContent>
      </w:r>
      <w:r>
        <w:rPr>
          <w:rFonts w:hint="eastAsia" w:eastAsia="宋体"/>
          <w:sz w:val="24"/>
          <w:lang w:eastAsia="zh-CN"/>
        </w:rPr>
        <w:drawing>
          <wp:anchor distT="0" distB="0" distL="114300" distR="114300" simplePos="0" relativeHeight="251661312" behindDoc="0" locked="0" layoutInCell="1" allowOverlap="1">
            <wp:simplePos x="0" y="0"/>
            <wp:positionH relativeFrom="column">
              <wp:posOffset>3386455</wp:posOffset>
            </wp:positionH>
            <wp:positionV relativeFrom="paragraph">
              <wp:posOffset>243840</wp:posOffset>
            </wp:positionV>
            <wp:extent cx="2645410" cy="2142490"/>
            <wp:effectExtent l="0" t="0" r="2540" b="10160"/>
            <wp:wrapSquare wrapText="bothSides"/>
            <wp:docPr id="6" name="图片 3" descr="175454508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1754545084216"/>
                    <pic:cNvPicPr>
                      <a:picLocks noChangeAspect="1"/>
                    </pic:cNvPicPr>
                  </pic:nvPicPr>
                  <pic:blipFill>
                    <a:blip r:embed="rId7"/>
                    <a:stretch>
                      <a:fillRect/>
                    </a:stretch>
                  </pic:blipFill>
                  <pic:spPr>
                    <a:xfrm>
                      <a:off x="0" y="0"/>
                      <a:ext cx="2645410" cy="2142490"/>
                    </a:xfrm>
                    <a:prstGeom prst="rect">
                      <a:avLst/>
                    </a:prstGeom>
                    <a:noFill/>
                    <a:ln>
                      <a:noFill/>
                    </a:ln>
                  </pic:spPr>
                </pic:pic>
              </a:graphicData>
            </a:graphic>
          </wp:anchor>
        </w:drawing>
      </w:r>
      <w:r>
        <w:rPr>
          <w:rFonts w:hint="eastAsia" w:ascii="宋体" w:cs="宋体"/>
          <w:color w:val="000000"/>
          <w:kern w:val="0"/>
          <w:sz w:val="24"/>
          <w:lang w:val="en-US" w:eastAsia="zh-CN"/>
        </w:rPr>
        <w:drawing>
          <wp:anchor distT="0" distB="0" distL="114300" distR="114300" simplePos="0" relativeHeight="251660288" behindDoc="0" locked="0" layoutInCell="1" allowOverlap="1">
            <wp:simplePos x="0" y="0"/>
            <wp:positionH relativeFrom="column">
              <wp:posOffset>305435</wp:posOffset>
            </wp:positionH>
            <wp:positionV relativeFrom="paragraph">
              <wp:posOffset>152400</wp:posOffset>
            </wp:positionV>
            <wp:extent cx="2644140" cy="1982470"/>
            <wp:effectExtent l="0" t="0" r="3810" b="17780"/>
            <wp:wrapSquare wrapText="bothSides"/>
            <wp:docPr id="10" name="图片 4" descr="传感器位置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descr="传感器位置1"/>
                    <pic:cNvPicPr>
                      <a:picLocks noChangeAspect="1"/>
                    </pic:cNvPicPr>
                  </pic:nvPicPr>
                  <pic:blipFill>
                    <a:blip r:embed="rId8"/>
                    <a:stretch>
                      <a:fillRect/>
                    </a:stretch>
                  </pic:blipFill>
                  <pic:spPr>
                    <a:xfrm>
                      <a:off x="0" y="0"/>
                      <a:ext cx="2644140" cy="1982470"/>
                    </a:xfrm>
                    <a:prstGeom prst="rect">
                      <a:avLst/>
                    </a:prstGeom>
                    <a:noFill/>
                    <a:ln>
                      <a:noFill/>
                    </a:ln>
                  </pic:spPr>
                </pic:pic>
              </a:graphicData>
            </a:graphic>
          </wp:anchor>
        </w:drawing>
      </w:r>
    </w:p>
    <w:p w14:paraId="4449A738">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jc w:val="center"/>
        <w:textAlignment w:val="auto"/>
        <w:rPr>
          <w:rFonts w:hint="default"/>
          <w:sz w:val="24"/>
          <w:lang w:val="en-US"/>
        </w:rPr>
      </w:pPr>
      <w:r>
        <w:rPr>
          <w:rFonts w:hint="eastAsia" w:ascii="宋体" w:cs="宋体"/>
          <w:color w:val="000000"/>
          <w:kern w:val="0"/>
          <w:sz w:val="24"/>
          <w:lang w:eastAsia="zh-CN"/>
        </w:rPr>
        <w:t>图</w:t>
      </w:r>
      <w:r>
        <w:rPr>
          <w:rFonts w:hint="eastAsia" w:ascii="宋体" w:cs="宋体"/>
          <w:color w:val="000000"/>
          <w:kern w:val="0"/>
          <w:sz w:val="24"/>
          <w:lang w:val="en-US" w:eastAsia="zh-CN"/>
        </w:rPr>
        <w:t>2 标准中规定的温度传感器的位置</w:t>
      </w:r>
    </w:p>
    <w:p w14:paraId="015F4333">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0" w:leftChars="0" w:firstLine="480" w:firstLineChars="200"/>
        <w:textAlignment w:val="auto"/>
        <w:rPr>
          <w:sz w:val="24"/>
        </w:rPr>
      </w:pPr>
    </w:p>
    <w:p w14:paraId="02ACFAEB">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0" w:leftChars="0" w:firstLine="480" w:firstLineChars="200"/>
        <w:textAlignment w:val="auto"/>
        <w:rPr>
          <w:sz w:val="24"/>
        </w:rPr>
      </w:pPr>
    </w:p>
    <w:p w14:paraId="0E38E1E7">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0" w:leftChars="0" w:firstLine="480" w:firstLineChars="200"/>
        <w:jc w:val="center"/>
        <w:textAlignment w:val="auto"/>
        <w:rPr>
          <w:sz w:val="24"/>
        </w:rPr>
      </w:pPr>
      <w:r>
        <w:rPr>
          <w:sz w:val="24"/>
        </w:rPr>
        <mc:AlternateContent>
          <mc:Choice Requires="wps">
            <w:drawing>
              <wp:anchor distT="0" distB="0" distL="114300" distR="114300" simplePos="0" relativeHeight="251665408" behindDoc="0" locked="0" layoutInCell="1" allowOverlap="1">
                <wp:simplePos x="0" y="0"/>
                <wp:positionH relativeFrom="column">
                  <wp:posOffset>4578985</wp:posOffset>
                </wp:positionH>
                <wp:positionV relativeFrom="paragraph">
                  <wp:posOffset>1259840</wp:posOffset>
                </wp:positionV>
                <wp:extent cx="220980" cy="322580"/>
                <wp:effectExtent l="9525" t="9525" r="17145" b="10795"/>
                <wp:wrapNone/>
                <wp:docPr id="7" name="墨迹 7"/>
                <wp:cNvGraphicFramePr>
                  <a:graphicFrameLocks xmlns:a="http://schemas.openxmlformats.org/drawingml/2006/main" noGrp="1"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clr" r:id="rId9">
                          <w14:nvContentPartPr>
                            <w14:cNvPr id="7" name="墨迹 7"/>
                            <w14:cNvContentPartPr>
                              <a14:cpLocks xmlns:a14="http://schemas.microsoft.com/office/drawing/2010/main" noGrp="1" noChangeAspect="1"/>
                            </w14:cNvContentPartPr>
                          </w14:nvContentPartPr>
                          <w14:xfrm>
                            <a:off x="5659120" y="2174240"/>
                            <a:ext cx="220980" cy="322580"/>
                          </w14:xfrm>
                        </w14:contentPart>
                      </mc:Choice>
                    </mc:AlternateContent>
                  </a:graphicData>
                </a:graphic>
              </wp:anchor>
            </w:drawing>
          </mc:Choice>
          <mc:Fallback>
            <w:pict>
              <v:shape id="_x0000_s1026" o:spid="_x0000_s1026" o:spt="75" style="position:absolute;left:0pt;margin-left:360.55pt;margin-top:99.2pt;height:25.4pt;width:17.4pt;z-index:251665408;mso-width-relative:page;mso-height-relative:page;" coordsize="21600,21600" o:gfxdata="UEsDBAoAAAAAAIdO4kAAAAAAAAAAAAAAAAAEAAAAZHJzL1BLAwQUAAAACACHTuJAorUEHNwAAAAL&#10;AQAADwAAAGRycy9kb3ducmV2LnhtbE2PwU7DMAyG70i8Q2QkLoglrcY6StNJMIEYAiQG2jlrTFPR&#10;JFWSbmNPjznB0f4//f5cLQ62ZzsMsfNOQjYRwNA1XneulfDxfn85BxaTclr13qGEb4ywqE9PKlVq&#10;v3dvuFunllGJi6WSYFIaSs5jY9CqOPEDOso+fbAq0RharoPaU7nteS7EjFvVObpg1IB3Bpuv9Wgl&#10;6Ifn23H1Yl4fL45PYbnRyyJujlKen2XiBljCQ/qD4Vef1KEmp60fnY6sl1DkWUYoBdfzKTAiipmg&#10;zVZCfpVPgdcV//9D/QNQSwMEFAAAAAgAh07iQG/lEtzNAQAAEAQAAA4AAABkcnMvZTJvRG9jLnht&#10;bK1TwY7TMBC9I/EPlu80sUm226jpCm0FWgmWHuADjOM00caeaOw23d/hxC9w4muQ9jOYNA0tRStV&#10;iJs9M37z3rzx/GZnG7Y16GtwOReTmDPjNBS1W+f886e3r64580G5QjXgTM4fjec3i5cv5l2bGQkV&#10;NIVBRiDOZ12b8yqENosirytjlZ9AaxwlS0CrAl1xHRWoOkK3TSTj+CrqAIsWQRvvKbockvyAiJcA&#10;QlnW2ixBb6xxYUBF06hAknxVt54v9mzL0ujwsSy9CazJ+SyVKWdhPFArMRUJhb7QKZ7OUh4t5ipb&#10;o2qrWh8IqUsInSm0qnZE4TfUUgXFNlj/BWVrjeChDBMNNhpk7edDmkR8Nqk799DrEoneYKbBBdK+&#10;UhhGL/aJf2lhGxpB9wEKcls3+J+tYJjVRc7xrhBH+m57exSwwqOs++0KWV8/5cwpS4x+fv329OM7&#10;m/bmjOLvz58rkWS6fQ/6wY++ieSyWRy8Gya+d445eIe02YIowG2l3Nq88S2tUh8iFtGzNMbMc/J2&#10;Jdp+L8hptst5epXOhKQP+JhzKaaJTOJhBc0uME0FUsaza8prKngtZUrnk/4D2tjzZCOI4h+7d3rv&#10;6Z985MUvUEsDBAoAAAAAAIdO4kAAAAAAAAAAAAAAAAAIAAAAZHJzL2luay9QSwMEFAAAAAgAh07i&#10;QByYP+u8BgAAVw8AABAAAABkcnMvaW5rL2luazEueG1stVfLbtxGELwHyD8Q9MGXXW7Pg/MQLPtm&#10;IEACGLENJMf1ipYW3ofApSz571PVM+LKsHwIkFwkNme6p7u6qof76s3Dftd8HcbT9ni4bE0nbTMc&#10;Nser7eH6sv344e0ytc1pWh+u1rvjYbhsvw2n9s3rX395tT182e8u8LdBhMOJT/vdZXszTbcXq9X9&#10;/X1377rjeL2yIm712+HLH7+3r6vX1fB5e9hOOPL0+GpzPEzDw8RgF9ury3YzPci8H7HfH+/GzTAv&#10;8824Oe+YxvVmeHsc9+tpjnizPhyGXXNY75H3X20zfbvFwxbnXA9j29whgxMO2rer513+/vcub39w&#10;2a8fAKtYNx94NXzliSsF7OLnib8bj7fDOG2HM0alorrwrdkUW4srVY7D6bi7I7Bt83W9u0O9NnXO&#10;B9+HkG02zs95mNUzpf8YGyj8b7EB109jg4i1Q2b1PWS17Kf4VDBnnjw2dNruB7B3fzsTZzohMF+/&#10;n0bluBXbLyUtJX4w7sLLRe+etKfS8jHep/HudDPH+jSeCagrM3qlqvvt1XQzN0I66dGB7NELK8Fb&#10;KOsZDj4X6GbYXt9M/0WkzXF3BPcrN158ThJEzgJ47vDt9eE4Du9ArdPdOMy+6lVxV7eZ0s+oW1ne&#10;VDD/HD5fti9U4I16lheKpjHBhk5EmpSTyfoUQ1y8xEsTXgJDkZeyaKWz0eEvzHbpF6bD7kbNxi6W&#10;0pngq2kWtst9LNbSLJYwc5oXpfPOzhY8JYe6VwO5IHVVGNen/HSzCXVzYxZw9a4ulhzmverqTE1p&#10;qateHs9BTghs+zlw3xl5tLAXQ/nJXovKazUN4pou9PXUEjf6miFrhWs+V0cLRO9ciMgXD8ZZbMmI&#10;p3uzeLy0gnh0TZau0QBYFGeTw2JOvsS1vcAM3gBv/E+Ma1Muiw4Pruv7vpg59o3posaVLmXLvQ5o&#10;wNM7ho2wCoIEJYaAWlCZSUjDWpQLK1nDZI0m4AGRa1znASq3ehTmuphMASEkxslApoAbDRKwfSpm&#10;SiiYfCpnCkEwqISneE/Lo3SFxAeEwFl4ScAKc1ht6WHiZofy1MSc5THiNPtec+hjUoTEkXPGxBLI&#10;RzxoRsoNrqJecgB0DcGCpd6heiBkDNEreCGFpHTNaKtmZKMwBU804URuFFPTt5GYSdZVNN6TOTET&#10;UGoEg6/mgPaoKKAbTd4BK+z0YADrjpE9610uqIiP+rLCG5MWA+QKKqGWWjI09OqirZWLGJ4KbWjD&#10;I3MgVKSRsAmdM04Lx044ikMJzEGEW0ultMg/a2pGkD9MUxpD5gCeyk68D0hQ6VAiWU9U2AJHXvXU&#10;ZQKCJJLpqfeeQCGhaDIcWbejJRSEtk7VYwl9KNzgaaAB0oX8VHgRNGAKOBMdAcFhmRLWe8oF2SoG&#10;PjA7k6kWFGjRAZRXaAMSMKimg8Os6hdfEzzDIxUSrsdeenodVRQPk/U2wIFlkVIJpGSpZA3OMqSb&#10;Ld11XcimgaAwMjksA6CElJQk8OljQHYO6ic8VnF2fS2Ss8JSHvBE1s4xH9NDfAQoCNHzQTezZSRC&#10;r8mzTlqIVHpSGphVd2g6kgfu0I52AUCh15y1RNbpXJJY5CGoEHlhSin5ep2GSSmE1yh49sS0IBod&#10;PDWsSzwESBfaBow2mJoeUIjcWsYLMuk5jwPEofAlRnXgYyFmuSKwRUGICgIb6JQlRa+JfaCiOJ0N&#10;gNGpZcjahPnB0YOuwKKyuTMH1QKQZjetIy1dRmsItGg+MZIH0JYymGNcYTdG0JQqDRyJrAuTKbGE&#10;UUjdQFoalprCUKcnJMERDXwFiwRP9Wc4jBFALyjcyupYREO9kTL4miFTOCuxk6CxS8iCAETkCo5A&#10;CGpaRYsi0qhQCc5l03gGdAELlbNmh5sYnOVcYlS9TRMQ0MR1IFEdXJNMrSXqkSd6YQLsAEwIUyUt&#10;OmOwKlaHtueg42bw8KxTXOHwoGq0EgdIIf8CltfLHoNYM3CoFp3kdwYyMAE87kwsvcOHHiKD/hpF&#10;PKhQycPznW7FvVfYo1SnZqpJSgQdBtzM2xeSZEdooiYc5urgxS8rmM4SBV1VthNSgqLTip1WiHRe&#10;loGuaywTg6fsRHi9Ac9Wj0+w6ocjeFeeowjvHD2BA5Afa2fLUXFl7UnzOK05qEpM4zkXUCP8cKNj&#10;zKMIfJMol/HpACJgiGnvRGVIhaBZaKUKJgtHHLdB5iAz7yoESuVKQJfcwoETPBIfDwzkISAdlcSe&#10;noapcF7BxJeKTsdQYEVGlsTnTUNyO84vHoLvTHryhgTFQuO/+w03f/7iR8jr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AoAAAAA&#10;AIdO4kAAAAAAAAAAAAAAAAAKAAAAZHJzL19yZWxzL1BLAwQUAAAACACHTuJAeRi8nbgAAAAhAQAA&#10;GQAAAGRycy9fcmVscy9lMm9Eb2MueG1sLnJlbHOFz7FqxDAMBuC90Hcw2hslHcpR4mQ5DrKWFG41&#10;jpKYxLKxnNJ7+3rswcENGoTQ90tt/+t39UNJXGANTVWDIrZhcrxo+B4vbydQkg1PZg9MGm4k0Hev&#10;L+0X7SaXJVldFFUUFg1rzvETUexK3kgVInGZzCF5k0ubFozGbmYhfK/rD0z/DejuTDVMGtIwNaDG&#10;WyzJz+0wz87SOdjDE+cHEWgPycFf/V5QkxbKGhxvWKqpyqGAXYt3j3V/UEsDBBQAAAAIAIdO4kAD&#10;FSnaBQEAAC0CAAATAAAAW0NvbnRlbnRfVHlwZXNdLnhtbJWRwU7DMBBE70j8g+UrSpz2gBBq0gMp&#10;R0CofIBlbxKr9trymtD+PU7aXhCl4uCDvTNvRuvVeu8sGyGS8VjzRVlxBqi8NtjX/GP7XDxwRkmi&#10;ltYj1PwAxNfN7c1qewhALLuRaj6kFB6FIDWAk1T6AJgnnY9OpnyNvQhS7WQPYllV90J5TICpSBOD&#10;N6sWOvlpE9vs8/OxSQRLnD0dhVNWzWUI1iiZclMxov6RUpwSyuycNTSYQHe5Bhe/JkyTywEn32te&#10;TTQa2JuM6UW6XEPoSEL7L4wwln9DppaOCt91RkHZRmqz7R3Gc6tLdFj61qv/wjez6xrb4E7ks7hC&#10;zxJnzywxf3bzDVBLAQIUABQAAAAIAIdO4kADFSnaBQEAAC0CAAATAAAAAAAAAAEAIAAAAGkMAABb&#10;Q29udGVudF9UeXBlc10ueG1sUEsBAhQACgAAAAAAh07iQAAAAAAAAAAAAAAAAAYAAAAAAAAAAAAQ&#10;AAAANAoAAF9yZWxzL1BLAQIUABQAAAAIAIdO4kCKFGY80QAAAJQBAAALAAAAAAAAAAEAIAAAAFgK&#10;AABfcmVscy8ucmVsc1BLAQIUAAoAAAAAAIdO4kAAAAAAAAAAAAAAAAAEAAAAAAAAAAAAEAAAAAAA&#10;AABkcnMvUEsBAhQACgAAAAAAh07iQAAAAAAAAAAAAAAAAAoAAAAAAAAAAAAQAAAAUgsAAGRycy9f&#10;cmVscy9QSwECFAAUAAAACACHTuJAeRi8nbgAAAAhAQAAGQAAAAAAAAABACAAAAB6CwAAZHJzL19y&#10;ZWxzL2Uyb0RvYy54bWwucmVsc1BLAQIUABQAAAAIAIdO4kCitQQc3AAAAAsBAAAPAAAAAAAAAAEA&#10;IAAAACIAAABkcnMvZG93bnJldi54bWxQSwECFAAUAAAACACHTuJAb+US3M0BAAAQBAAADgAAAAAA&#10;AAABACAAAAArAQAAZHJzL2Uyb0RvYy54bWxQSwECFAAKAAAAAACHTuJAAAAAAAAAAAAAAAAACAAA&#10;AAAAAAAAABAAAAAkAwAAZHJzL2luay9QSwECFAAUAAAACACHTuJAHJg/67wGAABXDwAAEAAAAAAA&#10;AAABACAAAABKAwAAZHJzL2luay9pbmsxLnhtbFBLBQYAAAAACgAKAEwCAACfDQAAAAA=&#10;">
                <v:imagedata r:id="rId10" o:title=""/>
                <o:lock v:ext="edit"/>
              </v:shape>
            </w:pict>
          </mc:Fallback>
        </mc:AlternateContent>
      </w:r>
      <w:r>
        <w:rPr>
          <w:sz w:val="24"/>
        </w:rPr>
        <mc:AlternateContent>
          <mc:Choice Requires="wps">
            <w:drawing>
              <wp:anchor distT="0" distB="0" distL="114300" distR="114300" simplePos="0" relativeHeight="251664384" behindDoc="0" locked="0" layoutInCell="1" allowOverlap="1">
                <wp:simplePos x="0" y="0"/>
                <wp:positionH relativeFrom="column">
                  <wp:posOffset>1156335</wp:posOffset>
                </wp:positionH>
                <wp:positionV relativeFrom="paragraph">
                  <wp:posOffset>777875</wp:posOffset>
                </wp:positionV>
                <wp:extent cx="673735" cy="483870"/>
                <wp:effectExtent l="9525" t="9525" r="21590" b="20955"/>
                <wp:wrapNone/>
                <wp:docPr id="9" name="墨迹 9"/>
                <wp:cNvGraphicFramePr>
                  <a:graphicFrameLocks xmlns:a="http://schemas.openxmlformats.org/drawingml/2006/main" noGrp="1"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clr" r:id="rId11">
                          <w14:nvContentPartPr>
                            <w14:cNvPr id="9" name="墨迹 9"/>
                            <w14:cNvContentPartPr>
                              <a14:cpLocks xmlns:a14="http://schemas.microsoft.com/office/drawing/2010/main" noGrp="1" noChangeAspect="1"/>
                            </w14:cNvContentPartPr>
                          </w14:nvContentPartPr>
                          <w14:xfrm>
                            <a:off x="2236470" y="1692275"/>
                            <a:ext cx="673735" cy="483870"/>
                          </w14:xfrm>
                        </w14:contentPart>
                      </mc:Choice>
                    </mc:AlternateContent>
                  </a:graphicData>
                </a:graphic>
              </wp:anchor>
            </w:drawing>
          </mc:Choice>
          <mc:Fallback>
            <w:pict>
              <v:shape id="_x0000_s1026" o:spid="_x0000_s1026" o:spt="75" style="position:absolute;left:0pt;margin-left:91.05pt;margin-top:61.25pt;height:38.1pt;width:53.05pt;z-index:251664384;mso-width-relative:page;mso-height-relative:page;" coordsize="21600,21600" o:gfxdata="UEsDBAoAAAAAAIdO4kAAAAAAAAAAAAAAAAAEAAAAZHJzL1BLAwQUAAAACACHTuJANiKY1tkAAAAL&#10;AQAADwAAAGRycy9kb3ducmV2LnhtbE2PMU/DMBCFdyT+g3VILIjaSRXUhjgdisoAA6LQzm58JFHj&#10;c4idpv33HBNs7909vfuuWJ1dJ044hNaThmSmQCBV3rZUa/j82NwvQIRoyJrOE2q4YIBVeX1VmNz6&#10;id7xtI214BIKudHQxNjnUoaqQWfCzPdIvPvygzOR7VBLO5iJy10nU6UepDMt8YXG9LhusDpuR6fB&#10;71/jy/G5rTZP6/E7W+7k3XR50/r2JlGPICKe418YfvEZHUpmOviRbBAd+0WacJRFmmYgOJEu5zw5&#10;sFDzDGRZyP8/lD9QSwMEFAAAAAgAh07iQBe1RRrOAQAAEAQAAA4AAABkcnMvZTJvRG9jLnhtbK1T&#10;S27bMBDdF+gdCO5rfSzZlmA5KGK0CNAmXqQHYCjKEiJyhCFtOdfpqlfoqqcp0GN0ZFm14yCAEXRH&#10;ckZv3pv3NL/a6ZptFdoKTMaDkc+ZMhLyyqwz/u3+04cZZ9YJk4sajMr4k7L8avH+3bxtUhVCCXWu&#10;kBGIsWnbZLx0rkk9z8pSaWFH0ChDxQJQC0dXXHs5ipbQde2Fvj/xWsC8QZDKWnpd9kV+QMRLAKEo&#10;KqmWIDdaGdejoqqFI0m2rBrLF3u2RaGkuysKqxyrM57EYcyZGw40KgzihPQ/0MlP4ph7i7lI1yia&#10;spIHQuISQmcKtagMUfgHtRROsA1WL6B0JREsFG4kQXu9rP1+SFPgn23qxjx2uoJIbjCVYBxpXwl0&#10;gxf7wltG6JpW0H6FnNyWNf5nKximVZ5xvMmDI32zvT4KWOFR1u12hazrTzgzQhOj399//Pn1kyWd&#10;OYP42/PPRRClsvkC8tEOvgXRZbs4eNdvfO8cM/AZKdkBUYDrUpi1+mgbilL3RCy8V2kMldfk7QrU&#10;XS7Iabaj0IXjSTSlAD4R8iQJw+khgmrnmKSGyXQ8HVNmJTVEs/GMek/m92jDzJNEEMVn2Tu9d/RP&#10;fuTFX1BLAwQKAAAAAACHTuJAAAAAAAAAAAAAAAAACAAAAGRycy9pbmsvUEsDBBQAAAAIAIdO4kAI&#10;8NEVUAgAAFISAAAQAAAAZHJzL2luay9pbmsxLnhtbLWYS29bRxKF9wPMf7hgFt6IV/3uvkLk7AwM&#10;MAMEkwSYWSoSLRERSYOkLPvfz3eqr64SRFkEyGxkNru7HqdOnWr62+++7B6Hz5vjaXvYX6/86FbD&#10;Zn97uNvu769XP/34Yd1Ww+l8s7+7eTzsN9err5vT6rv3f//bt9v9L7vHK/4OWNif9Gn3eL16OJ8/&#10;XV1ePj8/j89xPBzvL4Nz8fIf+1/+9c/V+/nW3ebjdr894/L08tXtYX/efDnL2NX27np1e/7ilvPY&#10;/uHwdLzdLNv65nj7euJ8vLndfDgcdzfnxeLDzX6/eRz2Nzvi/s9qOH/9xIctfu43x9XwRAQnHO1W&#10;l29f+e+fv/Lhd1d2N1+A1YW4OLzbfJbHSwPs6o8D//54+LQ5nrebV4x6RvPG1+G2ry25nuVxczo8&#10;PgnY1fD55vGJfEMbYyoplzKFyce0xOEv30j997ZB4f9mG7j+0DZEnCvkL38L2Zz2r/GZwVx48lLQ&#10;83a3gb27TwtxzicM6+sfzkfjeHAhr11bu/qjj1fJXaX4q/LMtHyx9/Px6fSw2Pr5+EpA21nQ61k9&#10;b+/OD0sh3OgyFZgStQiupEBnvcHBtww9bLb3D+e/wtLt4fEA92dufPOxueLcawO85Xx7vz8cN99D&#10;rdPTcbPctVsz7nZtofQb3W0sH2Yw/735eL36xhp8sJv9C0OzhFBG59zQ2jQl+1RLvXgHeM69q6NP&#10;7Z27WLkxxrCKYyt1tc4Xbsx+WqfR1zBEVs2HIYze17VnBfEHN06uDP5izdEY1mGsoQ5OS+cqf4P3&#10;fddNnmVMya7mytdjy5jDUGgThnJt7KGUObHHySGxN+XGHuGtk6xWGBXGVjNWiaB4Nl11ZrTii6Mx&#10;EkDAjCPWYOHgoqRlz9sZP6Yc7V6Y5CJVC9yTUF5HO6KUp8jXY3QZo1wsOhpLXYeLOJYQcYEZ9gjG&#10;KcMcJ/bAQTfGnPu9VCf2igs4BM/QPC5SbIMwxgybpGhglFJYuVTBv4wxJGXh5EKHvF+DTQYvLUst&#10;LJfdKQvySWW5WHPXFbBKXkDqWKAZx5IAyZYtaOmVNbhWi6GRnjZLUC58aZtukl3qI0MEEZRMboV4&#10;cZCds11nhImQAzBxreqlIjspBMoVqGXqFw32KSgA31Q8KNYohvHSgWzNIGWQuIs8ejdZTMIyUyid&#10;rMCUOem9ToZJaVBSCc7Yppl002RZIUTAHsCtqHqwzpaesAiALw2fanR20XdOetSLeNrQzK5SZm8t&#10;TmBHK/gKACwJATsEWS7Wdaw+q0loGfOCEMgpjAVZYnBymiLkFCJkoaithaAe/QXszUoEQUqkE5xn&#10;N6oqtYrElFuOKBKOCKPEdbU60DHkDjc5zAf4T1RTpnNZFmOulip352MiY2JkmURy+kgxEiw6wRJ2&#10;29I380OZ7TACwi4925eBtmdpVNEHY06M5CVTwZpChLWlqzqcwdgsh2YaUSiLHW7CvNOZU8k4YO1s&#10;X5tbP1vKWZVWDcxwRae4iiWTEIoHuNRX8hLpEvBAekACvkJyOLXYNVJQPW6CV5Id6Ytg8omcRcM5&#10;mWIw0a46mhwGrb0s+BITxl20+GBkDEMaq/ESi15wIR+USJn6BUNjkDiIqnnKrV1XjJi9GVladZaA&#10;I1oCVaidFTbTKpR3OQy/oAYhm2XXDCY40i3DJQzCapbEA5Gj5ES7LE2IZoUAhajGLoYMHzKdyt9s&#10;zQSqAtBkumckFTRFN52ESuLvrFMJFVPSQlU27CrE7ekGlKTXzhJCbWSYeaFec8n6pcxsc14CvChe&#10;by7NtZ6e8cknRFKV9iQArC2azHqDQrzNCkIyQigvnJ+TbbKE4KZI/D7MATvxgYxnnjoNFZpmlpVa&#10;xLagQHttFXEPMdiQZBow4URFyiFDM70ckbGS8lm4EzyTWeNetmaX6FptmmlnRMMt01JUDMd4McxC&#10;k89MmXvVg9wgg72uPXxGsXalGxLlPhkZYk7jVkPM4O4UtyE2n7FZhNPEVFBHCm0S1YhW3coLp4Pp&#10;j1rdlB8E1UCtV9GbYtIcBhHwEgF1skw7O4SfIqiTxEeDIyC80bQnqwNYEQB7nYKcDFIEda7uUSzZ&#10;NNklqmQSBnqCvU0mnGhEHxm6x+QTOmnMQSJUqLVnnmQ9A0w6zKjmt0rbUfcSrlceB5sYGtwSC2c1&#10;0BhQ/tHpKPo0M7PHY3kIfGO1FJYQqAGtwGF2WUrxFaA0VK8ML0JYL1E95nkQ6jydeqn7TKgZphtv&#10;X3DGECYYdYZXhz2aG1iiZSc5TU8zGmlMlWcxgLcGZ7N3j0ITnB0HZar4Ai+zHj3j1l6FLIWrjUoJ&#10;DRWTghrWtoq8uPSkEon51zhc8C+oC98Ssd5i3OtThccBZIKdvJdwizxlVm6Sh7lteMuiF8xViJt4&#10;R+QkSVvE0ncpnXJveqfnjp5fQgAbfaC+zB97reGahiAgSKcjMwJdPaScqnX0SoT2s0SCvWT0ijU8&#10;psQH1LMjEE02CwpvtbWZCwTqIcooheSRJ0CY70wUVmRiRz0vt/68Umnz5KTVSAebKqpe0PwApu4S&#10;MzW8KmubXUI7MTmbYFJvFMta04bg6Qml2cUs2FzlULRnz8QsY2+WTCu0PTulHrqtvSp4bDZp1W1a&#10;1eXRGk6qZy6oCUeK3v7wLtJFNJrRkHQncb//TqC2TUcl/pLhgrLyYyQILFwnulGvQUgtCKrgt1lt&#10;suZ4qWPAXi1gYYOC4dVfQ8mec7wS+lUP9UjIwOxEpB36LxfcUDn+gr5+R3hw17PNcOdrmlSq3ivf&#10;7KeDlFV5KjHCMifkazNeQ11QTkgqewwdrUpTpV9+SE08xQGWvPJv/vti+eXH7+/3/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AoA&#10;AAAAAIdO4kAAAAAAAAAAAAAAAAAKAAAAZHJzL19yZWxzL1BLAwQUAAAACACHTuJAeRi8nbgAAAAh&#10;AQAAGQAAAGRycy9fcmVscy9lMm9Eb2MueG1sLnJlbHOFz7FqxDAMBuC90Hcw2hslHcpR4mQ5DrKW&#10;FG41jpKYxLKxnNJ7+3rswcENGoTQ90tt/+t39UNJXGANTVWDIrZhcrxo+B4vbydQkg1PZg9MGm4k&#10;0HevL+0X7SaXJVldFFUUFg1rzvETUexK3kgVInGZzCF5k0ubFozGbmYhfK/rD0z/DejuTDVMGtIw&#10;NaDGWyzJz+0wz87SOdjDE+cHEWgPycFf/V5QkxbKGhxvWKqpyqGAXYt3j3V/UEsDBBQAAAAIAIdO&#10;4kADFSnaBQEAAC0CAAATAAAAW0NvbnRlbnRfVHlwZXNdLnhtbJWRwU7DMBBE70j8g+UrSpz2gBBq&#10;0gMpR0CofIBlbxKr9trymtD+PU7aXhCl4uCDvTNvRuvVeu8sGyGS8VjzRVlxBqi8NtjX/GP7XDxw&#10;RkmiltYj1PwAxNfN7c1qewhALLuRaj6kFB6FIDWAk1T6AJgnnY9OpnyNvQhS7WQPYllV90J5TICp&#10;SBODN6sWOvlpE9vs8/OxSQRLnD0dhVNWzWUI1iiZclMxov6RUpwSyuycNTSYQHe5Bhe/JkyTywEn&#10;32teTTQa2JuM6UW6XEPoSEL7L4wwln9DppaOCt91RkHZRmqz7R3Gc6tLdFj61qv/wjez6xrb4E7k&#10;s7hCzxJnzywxf3bzDVBLAQIUABQAAAAIAIdO4kADFSnaBQEAAC0CAAATAAAAAAAAAAEAIAAAAPsN&#10;AABbQ29udGVudF9UeXBlc10ueG1sUEsBAhQACgAAAAAAh07iQAAAAAAAAAAAAAAAAAYAAAAAAAAA&#10;AAAQAAAAxgsAAF9yZWxzL1BLAQIUABQAAAAIAIdO4kCKFGY80QAAAJQBAAALAAAAAAAAAAEAIAAA&#10;AOoLAABfcmVscy8ucmVsc1BLAQIUAAoAAAAAAIdO4kAAAAAAAAAAAAAAAAAEAAAAAAAAAAAAEAAA&#10;AAAAAABkcnMvUEsBAhQACgAAAAAAh07iQAAAAAAAAAAAAAAAAAoAAAAAAAAAAAAQAAAA5AwAAGRy&#10;cy9fcmVscy9QSwECFAAUAAAACACHTuJAeRi8nbgAAAAhAQAAGQAAAAAAAAABACAAAAAMDQAAZHJz&#10;L19yZWxzL2Uyb0RvYy54bWwucmVsc1BLAQIUABQAAAAIAIdO4kA2IpjW2QAAAAsBAAAPAAAAAAAA&#10;AAEAIAAAACIAAABkcnMvZG93bnJldi54bWxQSwECFAAUAAAACACHTuJAF7VFGs4BAAAQBAAADgAA&#10;AAAAAAABACAAAAAoAQAAZHJzL2Uyb0RvYy54bWxQSwECFAAKAAAAAACHTuJAAAAAAAAAAAAAAAAA&#10;CAAAAAAAAAAAABAAAAAiAwAAZHJzL2luay9QSwECFAAUAAAACACHTuJACPDRFVAIAABSEgAAEAAA&#10;AAAAAAABACAAAABIAwAAZHJzL2luay9pbmsxLnhtbFBLBQYAAAAACgAKAEwCAAAxDwAAAAA=&#10;">
                <v:imagedata r:id="rId12" o:title=""/>
                <o:lock v:ext="edit"/>
              </v:shape>
            </w:pict>
          </mc:Fallback>
        </mc:AlternateContent>
      </w:r>
      <w:r>
        <w:rPr>
          <w:rFonts w:hint="eastAsia" w:eastAsia="宋体"/>
          <w:sz w:val="24"/>
          <w:lang w:eastAsia="zh-CN"/>
        </w:rPr>
        <w:drawing>
          <wp:anchor distT="0" distB="0" distL="114300" distR="114300" simplePos="0" relativeHeight="251663360" behindDoc="0" locked="0" layoutInCell="1" allowOverlap="1">
            <wp:simplePos x="0" y="0"/>
            <wp:positionH relativeFrom="column">
              <wp:posOffset>2942590</wp:posOffset>
            </wp:positionH>
            <wp:positionV relativeFrom="paragraph">
              <wp:posOffset>167005</wp:posOffset>
            </wp:positionV>
            <wp:extent cx="2491105" cy="1867535"/>
            <wp:effectExtent l="0" t="0" r="4445" b="18415"/>
            <wp:wrapSquare wrapText="bothSides"/>
            <wp:docPr id="5" name="图片 7" descr="传感器位置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传感器位置2"/>
                    <pic:cNvPicPr>
                      <a:picLocks noChangeAspect="1"/>
                    </pic:cNvPicPr>
                  </pic:nvPicPr>
                  <pic:blipFill>
                    <a:blip r:embed="rId13"/>
                    <a:stretch>
                      <a:fillRect/>
                    </a:stretch>
                  </pic:blipFill>
                  <pic:spPr>
                    <a:xfrm>
                      <a:off x="0" y="0"/>
                      <a:ext cx="2491105" cy="1867535"/>
                    </a:xfrm>
                    <a:prstGeom prst="rect">
                      <a:avLst/>
                    </a:prstGeom>
                    <a:noFill/>
                    <a:ln>
                      <a:noFill/>
                    </a:ln>
                  </pic:spPr>
                </pic:pic>
              </a:graphicData>
            </a:graphic>
          </wp:anchor>
        </w:drawing>
      </w:r>
      <w:r>
        <w:drawing>
          <wp:anchor distT="0" distB="0" distL="114300" distR="114300" simplePos="0" relativeHeight="251659264" behindDoc="0" locked="0" layoutInCell="1" allowOverlap="1">
            <wp:simplePos x="0" y="0"/>
            <wp:positionH relativeFrom="column">
              <wp:posOffset>81915</wp:posOffset>
            </wp:positionH>
            <wp:positionV relativeFrom="paragraph">
              <wp:posOffset>150495</wp:posOffset>
            </wp:positionV>
            <wp:extent cx="2415540" cy="1905000"/>
            <wp:effectExtent l="0" t="0" r="3810" b="0"/>
            <wp:wrapSquare wrapText="bothSides"/>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4"/>
                    <a:stretch>
                      <a:fillRect/>
                    </a:stretch>
                  </pic:blipFill>
                  <pic:spPr>
                    <a:xfrm>
                      <a:off x="0" y="0"/>
                      <a:ext cx="2415540" cy="1905000"/>
                    </a:xfrm>
                    <a:prstGeom prst="rect">
                      <a:avLst/>
                    </a:prstGeom>
                    <a:noFill/>
                    <a:ln>
                      <a:noFill/>
                    </a:ln>
                  </pic:spPr>
                </pic:pic>
              </a:graphicData>
            </a:graphic>
          </wp:anchor>
        </w:drawing>
      </w:r>
      <w:r>
        <w:rPr>
          <w:rFonts w:hint="eastAsia" w:ascii="宋体" w:cs="宋体"/>
          <w:color w:val="000000"/>
          <w:kern w:val="0"/>
          <w:sz w:val="24"/>
          <w:lang w:eastAsia="zh-CN"/>
        </w:rPr>
        <w:t>图</w:t>
      </w:r>
      <w:r>
        <w:rPr>
          <w:rFonts w:hint="eastAsia" w:ascii="宋体" w:cs="宋体"/>
          <w:color w:val="000000"/>
          <w:kern w:val="0"/>
          <w:sz w:val="24"/>
          <w:lang w:val="en-US" w:eastAsia="zh-CN"/>
        </w:rPr>
        <w:t>3 温度传感器的位置</w:t>
      </w:r>
    </w:p>
    <w:p w14:paraId="4D91EBD0">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0" w:leftChars="0" w:firstLine="480" w:firstLineChars="200"/>
        <w:textAlignment w:val="auto"/>
        <w:rPr>
          <w:sz w:val="24"/>
        </w:rPr>
      </w:pPr>
      <w:r>
        <w:rPr>
          <w:sz w:val="24"/>
        </w:rPr>
        <w:t>箱</w:t>
      </w:r>
      <w:r>
        <w:rPr>
          <w:rFonts w:hint="eastAsia"/>
          <w:sz w:val="24"/>
        </w:rPr>
        <w:t>体的</w:t>
      </w:r>
      <w:r>
        <w:rPr>
          <w:sz w:val="24"/>
        </w:rPr>
        <w:t>温度校准</w:t>
      </w:r>
      <w:r>
        <w:rPr>
          <w:rFonts w:hint="eastAsia"/>
          <w:sz w:val="24"/>
        </w:rPr>
        <w:t>在</w:t>
      </w:r>
      <w:r>
        <w:rPr>
          <w:sz w:val="24"/>
        </w:rPr>
        <w:t>空载下进行</w:t>
      </w:r>
      <w:r>
        <w:rPr>
          <w:rFonts w:hint="eastAsia"/>
          <w:sz w:val="24"/>
        </w:rPr>
        <w:t>，</w:t>
      </w:r>
      <w:r>
        <w:rPr>
          <w:sz w:val="24"/>
        </w:rPr>
        <w:t>温度</w:t>
      </w:r>
      <w:r>
        <w:rPr>
          <w:rFonts w:hint="eastAsia"/>
          <w:sz w:val="24"/>
        </w:rPr>
        <w:t>均匀度</w:t>
      </w:r>
      <w:r>
        <w:rPr>
          <w:sz w:val="24"/>
        </w:rPr>
        <w:t>、温度稳定度和温度</w:t>
      </w:r>
      <w:r>
        <w:rPr>
          <w:rFonts w:hint="eastAsia"/>
          <w:sz w:val="24"/>
        </w:rPr>
        <w:t>示值</w:t>
      </w:r>
      <w:r>
        <w:rPr>
          <w:sz w:val="24"/>
        </w:rPr>
        <w:t>误差可以同时</w:t>
      </w:r>
      <w:r>
        <w:rPr>
          <w:rFonts w:hint="eastAsia"/>
          <w:sz w:val="24"/>
        </w:rPr>
        <w:t>进行</w:t>
      </w:r>
      <w:r>
        <w:rPr>
          <w:sz w:val="24"/>
        </w:rPr>
        <w:t>校准</w:t>
      </w:r>
      <w:r>
        <w:rPr>
          <w:rFonts w:hint="eastAsia"/>
          <w:sz w:val="24"/>
        </w:rPr>
        <w:t>。拆除</w:t>
      </w:r>
      <w:r>
        <w:rPr>
          <w:sz w:val="24"/>
        </w:rPr>
        <w:t>仪器</w:t>
      </w:r>
      <w:r>
        <w:rPr>
          <w:rFonts w:hint="eastAsia"/>
          <w:sz w:val="24"/>
        </w:rPr>
        <w:t>下</w:t>
      </w:r>
      <w:r>
        <w:rPr>
          <w:sz w:val="24"/>
        </w:rPr>
        <w:t>端的</w:t>
      </w:r>
      <w:r>
        <w:rPr>
          <w:rFonts w:hint="eastAsia"/>
          <w:sz w:val="24"/>
        </w:rPr>
        <w:t>收集器</w:t>
      </w:r>
      <w:r>
        <w:rPr>
          <w:sz w:val="24"/>
        </w:rPr>
        <w:t>，将</w:t>
      </w:r>
      <w:r>
        <w:rPr>
          <w:rFonts w:hint="eastAsia"/>
          <w:sz w:val="24"/>
        </w:rPr>
        <w:t>校准</w:t>
      </w:r>
      <w:r>
        <w:rPr>
          <w:sz w:val="24"/>
        </w:rPr>
        <w:t>用温度传感器</w:t>
      </w:r>
      <w:r>
        <w:rPr>
          <w:rFonts w:hint="eastAsia"/>
          <w:sz w:val="24"/>
        </w:rPr>
        <w:t>从</w:t>
      </w:r>
      <w:r>
        <w:rPr>
          <w:sz w:val="24"/>
        </w:rPr>
        <w:t>仪器下段圆孔插入</w:t>
      </w:r>
      <w:r>
        <w:rPr>
          <w:rFonts w:hint="eastAsia"/>
          <w:sz w:val="24"/>
        </w:rPr>
        <w:t>成</w:t>
      </w:r>
      <w:r>
        <w:rPr>
          <w:sz w:val="24"/>
        </w:rPr>
        <w:t>焦箱内，</w:t>
      </w:r>
      <w:r>
        <w:rPr>
          <w:rFonts w:hint="eastAsia"/>
          <w:sz w:val="24"/>
        </w:rPr>
        <w:t>选取3个</w:t>
      </w:r>
      <w:r>
        <w:rPr>
          <w:sz w:val="24"/>
        </w:rPr>
        <w:t>测温点，一个测温点</w:t>
      </w:r>
      <w:r>
        <w:rPr>
          <w:rFonts w:hint="eastAsia"/>
          <w:sz w:val="24"/>
        </w:rPr>
        <w:t>放于</w:t>
      </w:r>
      <w:r>
        <w:rPr>
          <w:sz w:val="24"/>
        </w:rPr>
        <w:t>工作区中心位置，高度与箱内</w:t>
      </w:r>
      <w:r>
        <w:rPr>
          <w:rFonts w:hint="eastAsia"/>
          <w:sz w:val="24"/>
        </w:rPr>
        <w:t>本身温度</w:t>
      </w:r>
      <w:r>
        <w:rPr>
          <w:sz w:val="24"/>
        </w:rPr>
        <w:t>传感器同一高度</w:t>
      </w:r>
      <w:r>
        <w:rPr>
          <w:rFonts w:hint="eastAsia"/>
          <w:sz w:val="24"/>
        </w:rPr>
        <w:t>，即中心测温</w:t>
      </w:r>
      <w:r>
        <w:rPr>
          <w:sz w:val="24"/>
        </w:rPr>
        <w:t>点</w:t>
      </w:r>
      <w:r>
        <w:rPr>
          <w:rFonts w:hint="eastAsia"/>
          <w:sz w:val="24"/>
        </w:rPr>
        <w:t>。另外在</w:t>
      </w:r>
      <w:r>
        <w:rPr>
          <w:sz w:val="24"/>
        </w:rPr>
        <w:t>样品架样品位置</w:t>
      </w:r>
      <w:r>
        <w:rPr>
          <w:rFonts w:hint="eastAsia"/>
          <w:sz w:val="24"/>
        </w:rPr>
        <w:t>分别选取</w:t>
      </w:r>
      <w:r>
        <w:rPr>
          <w:sz w:val="24"/>
        </w:rPr>
        <w:t>两个测温点</w:t>
      </w:r>
      <w:r>
        <w:rPr>
          <w:rFonts w:hint="eastAsia"/>
          <w:sz w:val="24"/>
          <w:lang w:eastAsia="zh-CN"/>
        </w:rPr>
        <w:t>，一个在传感器附近，高度与传感器一致，另一个选在该点对面</w:t>
      </w:r>
      <w:r>
        <w:rPr>
          <w:sz w:val="24"/>
        </w:rPr>
        <w:t>。</w:t>
      </w:r>
      <w:r>
        <w:rPr>
          <w:rFonts w:hint="eastAsia"/>
          <w:sz w:val="24"/>
          <w:lang w:eastAsia="zh-CN"/>
        </w:rPr>
        <w:t>三个点高度尽可能一致，不要触碰到箱体壁。</w:t>
      </w:r>
      <w:r>
        <w:rPr>
          <w:rFonts w:hint="eastAsia"/>
          <w:sz w:val="24"/>
        </w:rPr>
        <w:t>热电偶</w:t>
      </w:r>
      <w:r>
        <w:rPr>
          <w:sz w:val="24"/>
        </w:rPr>
        <w:t>参考端引出炉外</w:t>
      </w:r>
      <w:r>
        <w:rPr>
          <w:rFonts w:hint="eastAsia"/>
          <w:sz w:val="24"/>
        </w:rPr>
        <w:t>，</w:t>
      </w:r>
      <w:r>
        <w:rPr>
          <w:sz w:val="24"/>
        </w:rPr>
        <w:t>标记后通过转换开关</w:t>
      </w:r>
      <w:r>
        <w:rPr>
          <w:rFonts w:hint="eastAsia"/>
          <w:sz w:val="24"/>
        </w:rPr>
        <w:t>与</w:t>
      </w:r>
      <w:r>
        <w:rPr>
          <w:sz w:val="24"/>
        </w:rPr>
        <w:t>测量仪器连接</w:t>
      </w:r>
      <w:r>
        <w:rPr>
          <w:rFonts w:hint="eastAsia"/>
          <w:sz w:val="24"/>
        </w:rPr>
        <w:t>，</w:t>
      </w:r>
      <w:r>
        <w:rPr>
          <w:sz w:val="24"/>
        </w:rPr>
        <w:t>用隔热棉塞</w:t>
      </w:r>
      <w:r>
        <w:rPr>
          <w:rFonts w:hint="eastAsia"/>
          <w:sz w:val="24"/>
        </w:rPr>
        <w:t>堵</w:t>
      </w:r>
      <w:r>
        <w:rPr>
          <w:sz w:val="24"/>
        </w:rPr>
        <w:t>下段圆孔</w:t>
      </w:r>
      <w:r>
        <w:rPr>
          <w:rFonts w:hint="eastAsia"/>
          <w:sz w:val="24"/>
        </w:rPr>
        <w:t>，</w:t>
      </w:r>
      <w:r>
        <w:rPr>
          <w:sz w:val="24"/>
        </w:rPr>
        <w:t>关闭炉盖通电升温，温度到达</w:t>
      </w:r>
      <w:r>
        <w:rPr>
          <w:rFonts w:hint="eastAsia"/>
          <w:sz w:val="24"/>
        </w:rPr>
        <w:t>500℃后</w:t>
      </w:r>
      <w:r>
        <w:rPr>
          <w:sz w:val="24"/>
        </w:rPr>
        <w:t>，</w:t>
      </w:r>
      <w:r>
        <w:rPr>
          <w:rFonts w:hint="eastAsia"/>
          <w:sz w:val="24"/>
        </w:rPr>
        <w:t>处于</w:t>
      </w:r>
      <w:r>
        <w:rPr>
          <w:sz w:val="24"/>
        </w:rPr>
        <w:t>热稳定状态</w:t>
      </w:r>
      <w:r>
        <w:rPr>
          <w:rFonts w:hint="eastAsia"/>
          <w:sz w:val="24"/>
        </w:rPr>
        <w:t>5分钟</w:t>
      </w:r>
      <w:r>
        <w:rPr>
          <w:sz w:val="24"/>
        </w:rPr>
        <w:t>后，开始读数</w:t>
      </w:r>
      <w:r>
        <w:rPr>
          <w:rFonts w:hint="eastAsia"/>
          <w:sz w:val="24"/>
        </w:rPr>
        <w:t>，</w:t>
      </w:r>
      <w:r>
        <w:rPr>
          <w:sz w:val="24"/>
        </w:rPr>
        <w:t>在</w:t>
      </w:r>
      <w:r>
        <w:rPr>
          <w:rFonts w:hint="eastAsia"/>
          <w:sz w:val="24"/>
          <w:lang w:val="en-US" w:eastAsia="zh-CN"/>
        </w:rPr>
        <w:t>10</w:t>
      </w:r>
      <w:r>
        <w:rPr>
          <w:sz w:val="24"/>
        </w:rPr>
        <w:t>min</w:t>
      </w:r>
      <w:r>
        <w:rPr>
          <w:rFonts w:hint="eastAsia"/>
          <w:sz w:val="24"/>
        </w:rPr>
        <w:t>内，每</w:t>
      </w:r>
      <w:r>
        <w:rPr>
          <w:rFonts w:hint="eastAsia"/>
          <w:sz w:val="24"/>
          <w:lang w:val="en-US" w:eastAsia="zh-CN"/>
        </w:rPr>
        <w:t>1</w:t>
      </w:r>
      <w:r>
        <w:rPr>
          <w:sz w:val="24"/>
        </w:rPr>
        <w:t>min</w:t>
      </w:r>
      <w:r>
        <w:rPr>
          <w:rFonts w:hint="eastAsia"/>
          <w:sz w:val="24"/>
        </w:rPr>
        <w:t>记录</w:t>
      </w:r>
      <w:r>
        <w:rPr>
          <w:sz w:val="24"/>
        </w:rPr>
        <w:t>校准用温度传感器</w:t>
      </w:r>
      <w:r>
        <w:rPr>
          <w:rFonts w:hint="eastAsia"/>
          <w:sz w:val="24"/>
        </w:rPr>
        <w:t>示值，</w:t>
      </w:r>
      <w:r>
        <w:rPr>
          <w:sz w:val="24"/>
        </w:rPr>
        <w:t>共</w:t>
      </w:r>
      <w:r>
        <w:rPr>
          <w:rFonts w:hint="eastAsia"/>
          <w:sz w:val="24"/>
          <w:lang w:val="en-US" w:eastAsia="zh-CN"/>
        </w:rPr>
        <w:t>6</w:t>
      </w:r>
      <w:r>
        <w:rPr>
          <w:rFonts w:hint="eastAsia"/>
          <w:sz w:val="24"/>
        </w:rPr>
        <w:t>次，</w:t>
      </w:r>
      <w:r>
        <w:rPr>
          <w:sz w:val="24"/>
        </w:rPr>
        <w:t>每次记录</w:t>
      </w:r>
      <w:r>
        <w:rPr>
          <w:rFonts w:hint="eastAsia"/>
          <w:sz w:val="24"/>
        </w:rPr>
        <w:t>各</w:t>
      </w:r>
      <w:r>
        <w:rPr>
          <w:sz w:val="24"/>
        </w:rPr>
        <w:t>温度点温度要</w:t>
      </w:r>
      <w:r>
        <w:rPr>
          <w:rFonts w:hint="eastAsia"/>
          <w:sz w:val="24"/>
        </w:rPr>
        <w:t>在</w:t>
      </w:r>
      <w:r>
        <w:rPr>
          <w:rFonts w:hint="eastAsia"/>
          <w:sz w:val="24"/>
          <w:lang w:val="en-US" w:eastAsia="zh-CN"/>
        </w:rPr>
        <w:t>10s</w:t>
      </w:r>
      <w:r>
        <w:rPr>
          <w:rFonts w:hint="eastAsia"/>
          <w:sz w:val="24"/>
        </w:rPr>
        <w:t>内</w:t>
      </w:r>
      <w:r>
        <w:rPr>
          <w:sz w:val="24"/>
        </w:rPr>
        <w:t>完成。按照</w:t>
      </w:r>
      <w:r>
        <w:rPr>
          <w:rFonts w:hint="eastAsia"/>
          <w:sz w:val="24"/>
        </w:rPr>
        <w:t>式</w:t>
      </w:r>
      <w:r>
        <w:rPr>
          <w:sz w:val="24"/>
        </w:rPr>
        <w:t>（</w:t>
      </w:r>
      <w:r>
        <w:rPr>
          <w:rFonts w:hint="eastAsia"/>
          <w:sz w:val="24"/>
        </w:rPr>
        <w:t>2</w:t>
      </w:r>
      <w:r>
        <w:rPr>
          <w:sz w:val="24"/>
        </w:rPr>
        <w:t>）</w:t>
      </w:r>
      <w:r>
        <w:rPr>
          <w:rFonts w:hint="eastAsia"/>
          <w:sz w:val="24"/>
        </w:rPr>
        <w:t>计算，</w:t>
      </w:r>
      <w:r>
        <w:rPr>
          <w:sz w:val="24"/>
        </w:rPr>
        <w:t>求</w:t>
      </w:r>
      <w:r>
        <w:rPr>
          <w:rFonts w:hint="eastAsia"/>
          <w:sz w:val="24"/>
        </w:rPr>
        <w:t>得温度测量仪在在</w:t>
      </w:r>
      <w:r>
        <w:rPr>
          <w:sz w:val="24"/>
        </w:rPr>
        <w:t>各个测温点</w:t>
      </w:r>
      <w:r>
        <w:rPr>
          <w:rFonts w:hint="eastAsia"/>
          <w:sz w:val="24"/>
        </w:rPr>
        <w:t>测得</w:t>
      </w:r>
      <w:r>
        <w:rPr>
          <w:sz w:val="24"/>
        </w:rPr>
        <w:t>的</w:t>
      </w:r>
      <w:r>
        <w:rPr>
          <w:rFonts w:hint="eastAsia"/>
          <w:sz w:val="24"/>
        </w:rPr>
        <w:t>最高、</w:t>
      </w:r>
      <w:r>
        <w:rPr>
          <w:sz w:val="24"/>
        </w:rPr>
        <w:t>最低</w:t>
      </w:r>
      <w:r>
        <w:rPr>
          <w:rFonts w:hint="eastAsia"/>
          <w:sz w:val="24"/>
        </w:rPr>
        <w:t>实际</w:t>
      </w:r>
      <w:r>
        <w:rPr>
          <w:sz w:val="24"/>
        </w:rPr>
        <w:t>温度</w:t>
      </w:r>
      <w:r>
        <w:rPr>
          <w:rFonts w:hint="eastAsia"/>
          <w:sz w:val="24"/>
        </w:rPr>
        <w:t>，按照</w:t>
      </w:r>
      <w:r>
        <w:rPr>
          <w:sz w:val="24"/>
        </w:rPr>
        <w:t>式</w:t>
      </w:r>
      <w:r>
        <w:rPr>
          <w:rFonts w:hint="eastAsia"/>
          <w:sz w:val="24"/>
        </w:rPr>
        <w:t>（3）</w:t>
      </w:r>
      <w:r>
        <w:rPr>
          <w:sz w:val="24"/>
        </w:rPr>
        <w:t>、</w:t>
      </w:r>
      <w:r>
        <w:rPr>
          <w:rFonts w:hint="eastAsia"/>
          <w:sz w:val="24"/>
        </w:rPr>
        <w:t>式（4），</w:t>
      </w:r>
      <w:r>
        <w:rPr>
          <w:sz w:val="24"/>
        </w:rPr>
        <w:t>求得箱体均匀度</w:t>
      </w:r>
      <w:r>
        <w:rPr>
          <w:rFonts w:hint="eastAsia"/>
          <w:sz w:val="24"/>
        </w:rPr>
        <w:t>。</w:t>
      </w:r>
    </w:p>
    <w:p w14:paraId="739DB913">
      <w:pPr>
        <w:spacing w:line="360" w:lineRule="auto"/>
        <w:ind w:firstLine="1200" w:firstLineChars="500"/>
        <w:jc w:val="left"/>
        <w:rPr>
          <w:rFonts w:hint="eastAsia"/>
          <w:sz w:val="24"/>
        </w:rPr>
      </w:pPr>
      <w:r>
        <w:rPr>
          <w:rFonts w:hint="eastAsia" w:ascii="宋体" w:hAnsi="宋体"/>
          <w:position w:val="-30"/>
          <w:sz w:val="24"/>
        </w:rPr>
        <w:object>
          <v:shape id="_x0000_i1025" o:spt="75" type="#_x0000_t75" style="height:40.45pt;width:102.1pt;" o:ole="t" filled="f" o:preferrelative="t" stroked="f" coordsize="21600,21600">
            <v:path/>
            <v:fill on="f" alignshape="1" focussize="0,0"/>
            <v:stroke on="f"/>
            <v:imagedata r:id="rId16" o:title=""/>
            <o:lock v:ext="edit" aspectratio="t"/>
            <w10:wrap type="none"/>
            <w10:anchorlock/>
          </v:shape>
          <o:OLEObject Type="Embed" ProgID="Equation.3" ShapeID="_x0000_i1025" DrawAspect="Content" ObjectID="_1468075725" r:id="rId15">
            <o:LockedField>false</o:LockedField>
          </o:OLEObject>
        </w:object>
      </w:r>
      <w:r>
        <w:rPr>
          <w:rFonts w:ascii="宋体" w:hAnsi="宋体"/>
          <w:sz w:val="24"/>
        </w:rPr>
        <w:t xml:space="preserve">                               </w:t>
      </w:r>
      <w:r>
        <w:rPr>
          <w:rFonts w:hint="eastAsia" w:ascii="宋体" w:hAnsi="宋体"/>
          <w:sz w:val="24"/>
        </w:rPr>
        <w:t>（2）</w:t>
      </w:r>
    </w:p>
    <w:p w14:paraId="33723FB8">
      <w:pPr>
        <w:spacing w:line="360" w:lineRule="auto"/>
        <w:ind w:firstLine="1200" w:firstLineChars="500"/>
        <w:jc w:val="left"/>
        <w:rPr>
          <w:rFonts w:hint="eastAsia"/>
          <w:sz w:val="24"/>
        </w:rPr>
      </w:pPr>
      <w:r>
        <w:rPr>
          <w:rFonts w:hint="eastAsia" w:ascii="宋体" w:hAnsi="宋体"/>
          <w:position w:val="-10"/>
          <w:sz w:val="24"/>
        </w:rPr>
        <w:object>
          <v:shape id="_x0000_i1026" o:spt="75" type="#_x0000_t75" style="height:16.15pt;width:83.1pt;" o:ole="t" filled="f" o:preferrelative="t" stroked="f" coordsize="21600,21600">
            <v:path/>
            <v:fill on="f" alignshape="1" focussize="0,0"/>
            <v:stroke on="f"/>
            <v:imagedata r:id="rId18" o:title=""/>
            <o:lock v:ext="edit" aspectratio="t"/>
            <w10:wrap type="none"/>
            <w10:anchorlock/>
          </v:shape>
          <o:OLEObject Type="Embed" ProgID="Equation.3" ShapeID="_x0000_i1026" DrawAspect="Content" ObjectID="_1468075726" r:id="rId17">
            <o:LockedField>false</o:LockedField>
          </o:OLEObject>
        </w:object>
      </w:r>
      <w:r>
        <w:rPr>
          <w:rFonts w:ascii="宋体" w:hAnsi="宋体"/>
          <w:sz w:val="24"/>
        </w:rPr>
        <w:t xml:space="preserve">                                  </w:t>
      </w:r>
      <w:r>
        <w:rPr>
          <w:rFonts w:hint="eastAsia" w:ascii="宋体" w:hAnsi="宋体"/>
          <w:sz w:val="24"/>
        </w:rPr>
        <w:t>（3）</w:t>
      </w:r>
    </w:p>
    <w:p w14:paraId="082AEFF7">
      <w:pPr>
        <w:spacing w:line="360" w:lineRule="auto"/>
        <w:ind w:firstLine="1200" w:firstLineChars="500"/>
        <w:jc w:val="left"/>
        <w:rPr>
          <w:rFonts w:hint="eastAsia"/>
          <w:sz w:val="24"/>
        </w:rPr>
      </w:pPr>
      <w:r>
        <w:rPr>
          <w:rFonts w:hint="eastAsia" w:ascii="宋体" w:hAnsi="宋体"/>
          <w:position w:val="-10"/>
          <w:sz w:val="24"/>
        </w:rPr>
        <w:object>
          <v:shape id="_x0000_i1027" o:spt="75" type="#_x0000_t75" style="height:16.15pt;width:83.1pt;" o:ole="t" filled="f" o:preferrelative="t" stroked="f" coordsize="21600,21600">
            <v:path/>
            <v:fill on="f" alignshape="1" focussize="0,0"/>
            <v:stroke on="f"/>
            <v:imagedata r:id="rId20" o:title=""/>
            <o:lock v:ext="edit" aspectratio="t"/>
            <w10:wrap type="none"/>
            <w10:anchorlock/>
          </v:shape>
          <o:OLEObject Type="Embed" ProgID="Equation.3" ShapeID="_x0000_i1027" DrawAspect="Content" ObjectID="_1468075727" r:id="rId19">
            <o:LockedField>false</o:LockedField>
          </o:OLEObject>
        </w:object>
      </w:r>
      <w:r>
        <w:rPr>
          <w:rFonts w:ascii="宋体" w:hAnsi="宋体"/>
          <w:sz w:val="24"/>
        </w:rPr>
        <w:t xml:space="preserve">                                  </w:t>
      </w:r>
      <w:r>
        <w:rPr>
          <w:rFonts w:hint="eastAsia" w:ascii="宋体" w:hAnsi="宋体"/>
          <w:sz w:val="24"/>
        </w:rPr>
        <w:t>（</w:t>
      </w:r>
      <w:r>
        <w:rPr>
          <w:rFonts w:ascii="宋体" w:hAnsi="宋体"/>
          <w:sz w:val="24"/>
        </w:rPr>
        <w:t>4</w:t>
      </w:r>
      <w:r>
        <w:rPr>
          <w:rFonts w:hint="eastAsia" w:ascii="宋体" w:hAnsi="宋体"/>
          <w:sz w:val="24"/>
        </w:rPr>
        <w:t>）</w:t>
      </w:r>
    </w:p>
    <w:p w14:paraId="65BE1ED2">
      <w:pPr>
        <w:spacing w:line="360" w:lineRule="auto"/>
        <w:ind w:firstLine="480" w:firstLineChars="200"/>
        <w:jc w:val="left"/>
        <w:rPr>
          <w:sz w:val="24"/>
        </w:rPr>
      </w:pPr>
      <w:r>
        <w:rPr>
          <w:rFonts w:hint="eastAsia"/>
          <w:sz w:val="24"/>
        </w:rPr>
        <w:t>式</w:t>
      </w:r>
      <w:r>
        <w:rPr>
          <w:sz w:val="24"/>
        </w:rPr>
        <w:t>中：</w:t>
      </w:r>
    </w:p>
    <w:p w14:paraId="23D8051A">
      <w:pPr>
        <w:spacing w:line="360" w:lineRule="auto"/>
        <w:ind w:firstLine="480" w:firstLineChars="200"/>
        <w:jc w:val="left"/>
        <w:rPr>
          <w:sz w:val="24"/>
        </w:rPr>
      </w:pPr>
      <w:r>
        <w:rPr>
          <w:rFonts w:hint="eastAsia" w:ascii="宋体" w:hAnsi="宋体"/>
          <w:position w:val="-8"/>
          <w:sz w:val="24"/>
        </w:rPr>
        <w:object>
          <v:shape id="_x0000_i1028" o:spt="75" type="#_x0000_t75" style="height:15.05pt;width:42.7pt;" o:ole="t" filled="f" o:preferrelative="t" stroked="f" coordsize="21600,21600">
            <v:path/>
            <v:fill on="f" alignshape="1" focussize="0,0"/>
            <v:stroke on="f"/>
            <v:imagedata r:id="rId22" o:title=""/>
            <o:lock v:ext="edit" aspectratio="t"/>
            <w10:wrap type="none"/>
            <w10:anchorlock/>
          </v:shape>
          <o:OLEObject Type="Embed" ProgID="Equation.3" ShapeID="_x0000_i1028" DrawAspect="Content" ObjectID="_1468075728" r:id="rId21">
            <o:LockedField>false</o:LockedField>
          </o:OLEObject>
        </w:object>
      </w:r>
      <w:r>
        <w:rPr>
          <w:rFonts w:hint="eastAsia" w:ascii="宋体" w:hAnsi="宋体"/>
          <w:sz w:val="24"/>
        </w:rPr>
        <w:t>——温度</w:t>
      </w:r>
      <w:r>
        <w:rPr>
          <w:rFonts w:ascii="宋体" w:hAnsi="宋体"/>
          <w:sz w:val="24"/>
        </w:rPr>
        <w:t>均匀度</w:t>
      </w:r>
      <w:r>
        <w:rPr>
          <w:rFonts w:hint="eastAsia" w:ascii="宋体" w:hAnsi="宋体"/>
          <w:sz w:val="24"/>
        </w:rPr>
        <w:t>，</w:t>
      </w:r>
      <w:r>
        <w:rPr>
          <w:rFonts w:hint="eastAsia"/>
          <w:sz w:val="24"/>
        </w:rPr>
        <w:t>℃；</w:t>
      </w:r>
    </w:p>
    <w:p w14:paraId="314D2911">
      <w:pPr>
        <w:spacing w:line="360" w:lineRule="auto"/>
        <w:ind w:firstLine="480" w:firstLineChars="200"/>
        <w:jc w:val="left"/>
        <w:rPr>
          <w:rFonts w:hint="eastAsia" w:ascii="宋体" w:hAnsi="宋体"/>
          <w:sz w:val="24"/>
        </w:rPr>
      </w:pPr>
      <w:r>
        <w:rPr>
          <w:sz w:val="24"/>
        </w:rPr>
        <w:t>t</w:t>
      </w:r>
      <w:r>
        <w:rPr>
          <w:rFonts w:hint="eastAsia"/>
          <w:sz w:val="24"/>
          <w:vertAlign w:val="subscript"/>
        </w:rPr>
        <w:t>pn</w:t>
      </w:r>
      <w:r>
        <w:rPr>
          <w:rFonts w:hint="eastAsia"/>
          <w:sz w:val="24"/>
        </w:rPr>
        <w:t>——</w:t>
      </w:r>
      <w:r>
        <w:rPr>
          <w:rFonts w:hint="eastAsia" w:ascii="宋体" w:hAnsi="宋体"/>
          <w:sz w:val="24"/>
        </w:rPr>
        <w:t>测温仪器测得各个测温点的实际温度(实际温度=测温仪器读数平均</w:t>
      </w:r>
    </w:p>
    <w:p w14:paraId="3852F57F">
      <w:pPr>
        <w:spacing w:line="360" w:lineRule="auto"/>
        <w:ind w:firstLine="480" w:firstLineChars="200"/>
        <w:jc w:val="left"/>
        <w:rPr>
          <w:rFonts w:hint="eastAsia"/>
          <w:sz w:val="24"/>
        </w:rPr>
      </w:pPr>
      <w:r>
        <w:rPr>
          <w:rFonts w:hint="eastAsia" w:ascii="宋体" w:hAnsi="宋体"/>
          <w:sz w:val="24"/>
        </w:rPr>
        <w:t>值+修正值)，℃</w:t>
      </w:r>
      <w:r>
        <w:rPr>
          <w:rFonts w:hint="eastAsia"/>
          <w:sz w:val="24"/>
        </w:rPr>
        <w:t>；</w:t>
      </w:r>
    </w:p>
    <w:p w14:paraId="2F0CAF43">
      <w:pPr>
        <w:spacing w:line="360" w:lineRule="auto"/>
        <w:ind w:firstLine="480" w:firstLineChars="200"/>
        <w:jc w:val="left"/>
        <w:rPr>
          <w:rFonts w:hint="eastAsia"/>
          <w:sz w:val="24"/>
        </w:rPr>
      </w:pPr>
      <w:r>
        <w:rPr>
          <w:sz w:val="24"/>
        </w:rPr>
        <w:t>m</w:t>
      </w:r>
      <w:r>
        <w:rPr>
          <w:rFonts w:hint="eastAsia"/>
          <w:sz w:val="24"/>
        </w:rPr>
        <w:t>——测量次数；</w:t>
      </w:r>
    </w:p>
    <w:p w14:paraId="3E4DA5BF">
      <w:pPr>
        <w:spacing w:line="360" w:lineRule="auto"/>
        <w:ind w:firstLine="480" w:firstLineChars="200"/>
        <w:jc w:val="left"/>
        <w:rPr>
          <w:rFonts w:hint="eastAsia"/>
          <w:sz w:val="24"/>
        </w:rPr>
      </w:pPr>
      <w:r>
        <w:rPr>
          <w:sz w:val="24"/>
        </w:rPr>
        <w:t>t</w:t>
      </w:r>
      <w:r>
        <w:rPr>
          <w:rFonts w:hint="eastAsia"/>
          <w:sz w:val="24"/>
          <w:vertAlign w:val="subscript"/>
        </w:rPr>
        <w:t>ij</w:t>
      </w:r>
      <w:r>
        <w:rPr>
          <w:rFonts w:hint="eastAsia"/>
          <w:sz w:val="24"/>
        </w:rPr>
        <w:t>——第j个测温点的瞬时温度值，℃；</w:t>
      </w:r>
    </w:p>
    <w:p w14:paraId="28EDA53A">
      <w:pPr>
        <w:spacing w:line="360" w:lineRule="auto"/>
        <w:ind w:firstLine="480" w:firstLineChars="200"/>
        <w:jc w:val="left"/>
        <w:rPr>
          <w:rFonts w:hint="eastAsia"/>
          <w:sz w:val="24"/>
        </w:rPr>
      </w:pPr>
      <w:r>
        <w:rPr>
          <w:rFonts w:hint="eastAsia"/>
          <w:sz w:val="24"/>
        </w:rPr>
        <w:t>t</w:t>
      </w:r>
      <w:r>
        <w:rPr>
          <w:rFonts w:hint="eastAsia"/>
          <w:sz w:val="24"/>
          <w:vertAlign w:val="subscript"/>
        </w:rPr>
        <w:t>xj</w:t>
      </w:r>
      <w:r>
        <w:rPr>
          <w:rFonts w:hint="eastAsia"/>
          <w:sz w:val="24"/>
        </w:rPr>
        <w:t>——温度校准装置第j个测温点的修正值，℃；</w:t>
      </w:r>
    </w:p>
    <w:p w14:paraId="117925A3">
      <w:pPr>
        <w:spacing w:line="360" w:lineRule="auto"/>
        <w:ind w:firstLine="480" w:firstLineChars="200"/>
        <w:jc w:val="left"/>
        <w:rPr>
          <w:rFonts w:hint="eastAsia"/>
          <w:sz w:val="24"/>
        </w:rPr>
      </w:pPr>
      <w:r>
        <w:rPr>
          <w:rFonts w:hint="eastAsia"/>
          <w:sz w:val="24"/>
        </w:rPr>
        <w:t>t</w:t>
      </w:r>
      <w:r>
        <w:rPr>
          <w:rFonts w:hint="eastAsia"/>
          <w:sz w:val="24"/>
          <w:vertAlign w:val="subscript"/>
        </w:rPr>
        <w:t>pmax</w:t>
      </w:r>
      <w:r>
        <w:rPr>
          <w:rFonts w:hint="eastAsia"/>
          <w:sz w:val="24"/>
        </w:rPr>
        <w:t>——式(</w:t>
      </w:r>
      <w:r>
        <w:rPr>
          <w:sz w:val="24"/>
        </w:rPr>
        <w:t>2</w:t>
      </w:r>
      <w:r>
        <w:rPr>
          <w:rFonts w:hint="eastAsia"/>
          <w:sz w:val="24"/>
        </w:rPr>
        <w:t>)求得的各测温点实际温度的最大值，℃；</w:t>
      </w:r>
    </w:p>
    <w:p w14:paraId="08AD67C0">
      <w:pPr>
        <w:spacing w:line="360" w:lineRule="auto"/>
        <w:ind w:firstLine="480" w:firstLineChars="200"/>
        <w:jc w:val="left"/>
        <w:rPr>
          <w:rFonts w:hint="eastAsia"/>
          <w:sz w:val="24"/>
        </w:rPr>
      </w:pPr>
      <w:r>
        <w:rPr>
          <w:rFonts w:hint="eastAsia"/>
          <w:sz w:val="24"/>
        </w:rPr>
        <w:t>t</w:t>
      </w:r>
      <w:r>
        <w:rPr>
          <w:rFonts w:hint="eastAsia"/>
          <w:sz w:val="24"/>
          <w:vertAlign w:val="subscript"/>
        </w:rPr>
        <w:t>pmin</w:t>
      </w:r>
      <w:r>
        <w:rPr>
          <w:rFonts w:hint="eastAsia"/>
          <w:sz w:val="24"/>
        </w:rPr>
        <w:t>——式(</w:t>
      </w:r>
      <w:r>
        <w:rPr>
          <w:sz w:val="24"/>
        </w:rPr>
        <w:t>2</w:t>
      </w:r>
      <w:r>
        <w:rPr>
          <w:rFonts w:hint="eastAsia"/>
          <w:sz w:val="24"/>
        </w:rPr>
        <w:t>)求得的各测温点实际温度的最小值，℃；</w:t>
      </w:r>
    </w:p>
    <w:p w14:paraId="3EE6E48F">
      <w:pPr>
        <w:spacing w:line="360" w:lineRule="auto"/>
        <w:ind w:firstLine="480" w:firstLineChars="200"/>
        <w:jc w:val="left"/>
        <w:rPr>
          <w:sz w:val="24"/>
        </w:rPr>
      </w:pPr>
      <w:r>
        <w:rPr>
          <w:rFonts w:hint="eastAsia"/>
          <w:sz w:val="24"/>
        </w:rPr>
        <w:t>t</w:t>
      </w:r>
      <w:r>
        <w:rPr>
          <w:rFonts w:hint="eastAsia"/>
          <w:sz w:val="24"/>
          <w:vertAlign w:val="subscript"/>
        </w:rPr>
        <w:t>p</w:t>
      </w:r>
      <w:r>
        <w:rPr>
          <w:rFonts w:hint="eastAsia"/>
          <w:sz w:val="24"/>
        </w:rPr>
        <w:t>——式(1)求得的中心测温点的实际温度，℃。</w:t>
      </w:r>
    </w:p>
    <w:p w14:paraId="4565EFD1">
      <w:pPr>
        <w:spacing w:line="360" w:lineRule="auto"/>
        <w:ind w:firstLine="480" w:firstLineChars="200"/>
        <w:jc w:val="left"/>
        <w:rPr>
          <w:sz w:val="24"/>
        </w:rPr>
      </w:pPr>
      <w:r>
        <w:rPr>
          <w:rFonts w:hint="eastAsia"/>
          <w:sz w:val="24"/>
        </w:rPr>
        <w:t>经校准取测温仪器在中心测温点上测得温度的最大、最小值和平均值，按式</w:t>
      </w:r>
      <w:r>
        <w:rPr>
          <w:rFonts w:hint="eastAsia" w:ascii="宋体" w:hAnsi="宋体"/>
          <w:sz w:val="24"/>
        </w:rPr>
        <w:t>（5）、式（6）计算，求炉温稳定度</w:t>
      </w:r>
      <w:r>
        <w:rPr>
          <w:rFonts w:hint="eastAsia"/>
          <w:sz w:val="24"/>
        </w:rPr>
        <w:t>。</w:t>
      </w:r>
    </w:p>
    <w:p w14:paraId="092B5568">
      <w:pPr>
        <w:autoSpaceDE w:val="0"/>
        <w:autoSpaceDN w:val="0"/>
        <w:adjustRightInd w:val="0"/>
        <w:spacing w:line="500" w:lineRule="exact"/>
        <w:ind w:firstLine="460" w:firstLineChars="192"/>
        <w:jc w:val="center"/>
        <w:rPr>
          <w:sz w:val="24"/>
        </w:rPr>
      </w:pPr>
    </w:p>
    <w:p w14:paraId="55FA49AB">
      <w:pPr>
        <w:autoSpaceDE w:val="0"/>
        <w:autoSpaceDN w:val="0"/>
        <w:adjustRightInd w:val="0"/>
        <w:spacing w:line="500" w:lineRule="exact"/>
        <w:ind w:firstLine="460" w:firstLineChars="192"/>
        <w:jc w:val="center"/>
        <w:rPr>
          <w:rFonts w:hint="eastAsia" w:ascii="宋体" w:cs="宋体"/>
          <w:color w:val="000000"/>
          <w:kern w:val="0"/>
          <w:sz w:val="24"/>
        </w:rPr>
      </w:pPr>
      <w:r>
        <w:rPr>
          <w:rFonts w:ascii="宋体" w:hAnsi="宋体"/>
          <w:sz w:val="24"/>
        </w:rPr>
        <w:t xml:space="preserve">     </w:t>
      </w:r>
      <w:r>
        <w:rPr>
          <w:rFonts w:ascii="宋体" w:hAnsi="宋体"/>
          <w:position w:val="-8"/>
          <w:sz w:val="24"/>
        </w:rPr>
        <w:object>
          <v:shape id="_x0000_i1029" o:spt="75" type="#_x0000_t75" style="height:23.1pt;width:72.45pt;" o:ole="t" filled="f" o:preferrelative="t" stroked="f" coordsize="21600,21600">
            <v:path/>
            <v:fill on="f" alignshape="1" focussize="0,0"/>
            <v:stroke on="f"/>
            <v:imagedata r:id="rId24" o:title=""/>
            <o:lock v:ext="edit" aspectratio="t"/>
            <w10:wrap type="none"/>
            <w10:anchorlock/>
          </v:shape>
          <o:OLEObject Type="Embed" ProgID="Equation.3" ShapeID="_x0000_i1029" DrawAspect="Content" ObjectID="_1468075729" r:id="rId23">
            <o:LockedField>false</o:LockedField>
          </o:OLEObject>
        </w:object>
      </w:r>
      <w:r>
        <w:rPr>
          <w:rFonts w:ascii="宋体" w:hAnsi="宋体"/>
          <w:sz w:val="24"/>
        </w:rPr>
        <w:t xml:space="preserve">                      </w:t>
      </w:r>
      <w:r>
        <w:rPr>
          <w:rFonts w:hint="eastAsia" w:ascii="宋体" w:hAnsi="宋体"/>
          <w:sz w:val="24"/>
        </w:rPr>
        <w:t>（</w:t>
      </w:r>
      <w:r>
        <w:rPr>
          <w:rFonts w:ascii="宋体" w:hAnsi="宋体"/>
          <w:sz w:val="24"/>
        </w:rPr>
        <w:t>5</w:t>
      </w:r>
      <w:r>
        <w:rPr>
          <w:rFonts w:hint="eastAsia" w:ascii="宋体" w:hAnsi="宋体"/>
          <w:sz w:val="24"/>
        </w:rPr>
        <w:t>）</w:t>
      </w:r>
    </w:p>
    <w:p w14:paraId="1A56F411">
      <w:pPr>
        <w:autoSpaceDE w:val="0"/>
        <w:autoSpaceDN w:val="0"/>
        <w:adjustRightInd w:val="0"/>
        <w:ind w:firstLine="460" w:firstLineChars="192"/>
        <w:jc w:val="center"/>
        <w:rPr>
          <w:rFonts w:hint="eastAsia" w:ascii="宋体" w:cs="宋体"/>
          <w:color w:val="000000"/>
          <w:kern w:val="0"/>
          <w:sz w:val="24"/>
        </w:rPr>
      </w:pPr>
      <w:r>
        <w:rPr>
          <w:rFonts w:ascii="宋体" w:hAnsi="宋体"/>
          <w:sz w:val="24"/>
        </w:rPr>
        <w:t xml:space="preserve">    </w:t>
      </w:r>
      <w:r>
        <w:rPr>
          <w:rFonts w:ascii="宋体" w:hAnsi="宋体"/>
          <w:position w:val="-8"/>
          <w:sz w:val="24"/>
        </w:rPr>
        <w:object>
          <v:shape id="_x0000_i1030" o:spt="75" type="#_x0000_t75" style="height:25.2pt;width:81.8pt;" o:ole="t" filled="f" o:preferrelative="t" stroked="f" coordsize="21600,21600">
            <v:path/>
            <v:fill on="f" alignshape="1" focussize="0,0"/>
            <v:stroke on="f"/>
            <v:imagedata r:id="rId26" o:title=""/>
            <o:lock v:ext="edit" aspectratio="t"/>
            <w10:wrap type="none"/>
            <w10:anchorlock/>
          </v:shape>
          <o:OLEObject Type="Embed" ProgID="Equation.3" ShapeID="_x0000_i1030" DrawAspect="Content" ObjectID="_1468075730" r:id="rId25">
            <o:LockedField>false</o:LockedField>
          </o:OLEObject>
        </w:object>
      </w:r>
      <w:r>
        <w:rPr>
          <w:rFonts w:ascii="宋体" w:hAnsi="宋体"/>
          <w:sz w:val="24"/>
        </w:rPr>
        <w:t xml:space="preserve">                     </w:t>
      </w:r>
      <w:r>
        <w:rPr>
          <w:rFonts w:hint="eastAsia" w:ascii="宋体" w:hAnsi="宋体"/>
          <w:sz w:val="24"/>
        </w:rPr>
        <w:t>（</w:t>
      </w:r>
      <w:r>
        <w:rPr>
          <w:rFonts w:ascii="宋体" w:hAnsi="宋体"/>
          <w:sz w:val="24"/>
        </w:rPr>
        <w:t>6</w:t>
      </w:r>
      <w:r>
        <w:rPr>
          <w:rFonts w:hint="eastAsia" w:ascii="宋体" w:hAnsi="宋体"/>
          <w:sz w:val="24"/>
        </w:rPr>
        <w:t>）</w:t>
      </w:r>
    </w:p>
    <w:p w14:paraId="77074E4D">
      <w:pPr>
        <w:spacing w:line="360" w:lineRule="auto"/>
        <w:ind w:firstLine="480" w:firstLineChars="200"/>
        <w:jc w:val="left"/>
        <w:rPr>
          <w:sz w:val="24"/>
        </w:rPr>
      </w:pPr>
      <w:r>
        <w:rPr>
          <w:rFonts w:hint="eastAsia"/>
          <w:sz w:val="24"/>
        </w:rPr>
        <w:t>式中</w:t>
      </w:r>
      <w:r>
        <w:rPr>
          <w:sz w:val="24"/>
        </w:rPr>
        <w:t>：</w:t>
      </w:r>
    </w:p>
    <w:p w14:paraId="60E031D4">
      <w:pPr>
        <w:spacing w:line="440" w:lineRule="exact"/>
        <w:ind w:firstLine="480" w:firstLineChars="200"/>
        <w:rPr>
          <w:rFonts w:hint="eastAsia" w:ascii="宋体" w:hAnsi="宋体"/>
          <w:sz w:val="24"/>
        </w:rPr>
      </w:pPr>
      <w:r>
        <w:rPr>
          <w:rFonts w:hint="eastAsia" w:ascii="宋体" w:hAnsi="宋体"/>
          <w:sz w:val="24"/>
        </w:rPr>
        <w:t>δ</w:t>
      </w:r>
      <w:r>
        <w:rPr>
          <w:rFonts w:ascii="宋体" w:hAnsi="宋体"/>
          <w:sz w:val="24"/>
          <w:vertAlign w:val="subscript"/>
        </w:rPr>
        <w:t>+</w:t>
      </w:r>
      <w:r>
        <w:rPr>
          <w:rFonts w:ascii="宋体" w:hAnsi="宋体"/>
          <w:sz w:val="24"/>
        </w:rPr>
        <w:t xml:space="preserve"> ,</w:t>
      </w:r>
      <w:r>
        <w:rPr>
          <w:rFonts w:hint="eastAsia" w:ascii="宋体" w:hAnsi="宋体"/>
          <w:sz w:val="24"/>
        </w:rPr>
        <w:t>δ</w:t>
      </w:r>
      <w:r>
        <w:rPr>
          <w:rFonts w:hint="eastAsia" w:ascii="宋体" w:hAnsi="宋体"/>
          <w:sz w:val="24"/>
          <w:vertAlign w:val="subscript"/>
        </w:rPr>
        <w:t>-</w:t>
      </w:r>
      <w:r>
        <w:rPr>
          <w:rFonts w:hint="eastAsia" w:ascii="宋体" w:hAnsi="宋体"/>
          <w:sz w:val="24"/>
        </w:rPr>
        <w:t xml:space="preserve"> ——温度稳定度,℃；</w:t>
      </w:r>
    </w:p>
    <w:p w14:paraId="3440F080">
      <w:pPr>
        <w:spacing w:line="440" w:lineRule="exact"/>
        <w:ind w:firstLine="480" w:firstLineChars="200"/>
        <w:rPr>
          <w:rFonts w:hint="eastAsia" w:ascii="宋体" w:hAnsi="宋体"/>
          <w:sz w:val="24"/>
        </w:rPr>
      </w:pPr>
      <w:r>
        <w:rPr>
          <w:rFonts w:ascii="宋体" w:hAnsi="宋体"/>
          <w:position w:val="-4"/>
          <w:sz w:val="24"/>
        </w:rPr>
        <w:object>
          <v:shape id="_x0000_i1031" o:spt="75" type="#_x0000_t75" style="height:19.8pt;width:10.7pt;" o:ole="t" filled="f" o:preferrelative="t" stroked="f" coordsize="21600,21600">
            <v:path/>
            <v:fill on="f" alignshape="1" focussize="0,0"/>
            <v:stroke on="f"/>
            <v:imagedata r:id="rId28" o:title=""/>
            <o:lock v:ext="edit" aspectratio="t"/>
            <w10:wrap type="none"/>
            <w10:anchorlock/>
          </v:shape>
          <o:OLEObject Type="Embed" ProgID="Equation.3" ShapeID="_x0000_i1031" DrawAspect="Content" ObjectID="_1468075731" r:id="rId27">
            <o:LockedField>false</o:LockedField>
          </o:OLEObject>
        </w:object>
      </w:r>
      <w:r>
        <w:rPr>
          <w:rFonts w:hint="eastAsia" w:ascii="宋体" w:hAnsi="宋体"/>
          <w:sz w:val="24"/>
        </w:rPr>
        <w:t>——中心测温点温度读数的算术平均值,℃；</w:t>
      </w:r>
    </w:p>
    <w:p w14:paraId="16869862">
      <w:pPr>
        <w:spacing w:line="440" w:lineRule="exact"/>
        <w:ind w:firstLine="480" w:firstLineChars="200"/>
        <w:rPr>
          <w:rFonts w:hint="eastAsia" w:ascii="宋体" w:hAnsi="宋体"/>
          <w:sz w:val="24"/>
        </w:rPr>
      </w:pPr>
      <w:r>
        <w:rPr>
          <w:rFonts w:hint="eastAsia" w:ascii="宋体" w:hAnsi="宋体"/>
          <w:sz w:val="24"/>
        </w:rPr>
        <w:t>t</w:t>
      </w:r>
      <w:r>
        <w:rPr>
          <w:rFonts w:hint="eastAsia" w:ascii="宋体" w:hAnsi="宋体"/>
          <w:sz w:val="24"/>
          <w:vertAlign w:val="subscript"/>
        </w:rPr>
        <w:t>h</w:t>
      </w:r>
      <w:r>
        <w:rPr>
          <w:rFonts w:hint="eastAsia" w:ascii="宋体" w:hAnsi="宋体"/>
          <w:sz w:val="24"/>
        </w:rPr>
        <w:t>——中心测温点测得的最大值,℃；</w:t>
      </w:r>
    </w:p>
    <w:p w14:paraId="52D097C9">
      <w:pPr>
        <w:spacing w:line="440" w:lineRule="exact"/>
        <w:ind w:firstLine="480" w:firstLineChars="200"/>
        <w:rPr>
          <w:rFonts w:ascii="宋体" w:hAnsi="宋体"/>
          <w:sz w:val="24"/>
        </w:rPr>
      </w:pPr>
      <w:r>
        <w:rPr>
          <w:rFonts w:ascii="宋体" w:hAnsi="宋体"/>
          <w:sz w:val="24"/>
        </w:rPr>
        <w:t>t</w:t>
      </w:r>
      <w:r>
        <w:rPr>
          <w:rFonts w:hint="eastAsia" w:ascii="宋体" w:hAnsi="宋体"/>
          <w:sz w:val="24"/>
          <w:vertAlign w:val="subscript"/>
        </w:rPr>
        <w:t>l</w:t>
      </w:r>
      <w:r>
        <w:rPr>
          <w:rFonts w:hint="eastAsia" w:ascii="宋体" w:hAnsi="宋体"/>
          <w:sz w:val="24"/>
        </w:rPr>
        <w:t>——中心测温点测得的最小值,℃。</w:t>
      </w:r>
    </w:p>
    <w:p w14:paraId="10C7C414">
      <w:pPr>
        <w:autoSpaceDE w:val="0"/>
        <w:autoSpaceDN w:val="0"/>
        <w:adjustRightInd w:val="0"/>
        <w:spacing w:line="360" w:lineRule="auto"/>
        <w:ind w:firstLine="480" w:firstLineChars="200"/>
        <w:jc w:val="left"/>
        <w:rPr>
          <w:sz w:val="24"/>
        </w:rPr>
      </w:pPr>
      <w:r>
        <w:rPr>
          <w:rFonts w:hint="eastAsia"/>
          <w:sz w:val="24"/>
        </w:rPr>
        <w:t>经校准取测温仪器</w:t>
      </w:r>
      <w:r>
        <w:rPr>
          <w:rFonts w:hint="eastAsia"/>
          <w:sz w:val="24"/>
          <w:lang w:eastAsia="zh-CN"/>
        </w:rPr>
        <w:t>，选取传感器旁边的那一个测温点，</w:t>
      </w:r>
      <w:r>
        <w:rPr>
          <w:rFonts w:hint="eastAsia"/>
          <w:sz w:val="24"/>
        </w:rPr>
        <w:t>测得温度的和仪器</w:t>
      </w:r>
      <w:r>
        <w:rPr>
          <w:sz w:val="24"/>
        </w:rPr>
        <w:t>显示的标称温度之差</w:t>
      </w:r>
      <w:r>
        <w:rPr>
          <w:rFonts w:hint="eastAsia"/>
          <w:sz w:val="24"/>
        </w:rPr>
        <w:t>为</w:t>
      </w:r>
      <w:r>
        <w:rPr>
          <w:sz w:val="24"/>
        </w:rPr>
        <w:t>温度示值误差</w:t>
      </w:r>
      <w:r>
        <w:rPr>
          <w:rFonts w:hint="eastAsia"/>
          <w:sz w:val="24"/>
        </w:rPr>
        <w:t>，按照</w:t>
      </w:r>
      <w:r>
        <w:rPr>
          <w:sz w:val="24"/>
        </w:rPr>
        <w:t>式</w:t>
      </w:r>
      <w:r>
        <w:rPr>
          <w:rFonts w:hint="eastAsia"/>
          <w:sz w:val="24"/>
        </w:rPr>
        <w:t>（7）计算</w:t>
      </w:r>
      <w:r>
        <w:rPr>
          <w:sz w:val="24"/>
        </w:rPr>
        <w:t>。</w:t>
      </w:r>
    </w:p>
    <w:p w14:paraId="62C7AB2E">
      <w:pPr>
        <w:autoSpaceDE w:val="0"/>
        <w:autoSpaceDN w:val="0"/>
        <w:adjustRightInd w:val="0"/>
        <w:spacing w:line="360" w:lineRule="auto"/>
        <w:ind w:firstLine="480" w:firstLineChars="200"/>
        <w:jc w:val="left"/>
        <w:rPr>
          <w:rFonts w:ascii="宋体" w:hAnsi="宋体"/>
          <w:sz w:val="24"/>
        </w:rPr>
      </w:pPr>
      <w:r>
        <w:rPr>
          <w:rFonts w:ascii="宋体" w:hAnsi="宋体"/>
          <w:position w:val="-8"/>
          <w:sz w:val="24"/>
        </w:rPr>
        <w:object>
          <v:shape id="_x0000_i1032" o:spt="75" type="#_x0000_t75" style="height:25.2pt;width:114.85pt;" o:ole="t" filled="f" o:preferrelative="t" stroked="f" coordsize="21600,21600">
            <v:path/>
            <v:fill on="f" alignshape="1" focussize="0,0"/>
            <v:stroke on="f"/>
            <v:imagedata r:id="rId30" o:title=""/>
            <o:lock v:ext="edit" aspectratio="t"/>
            <w10:wrap type="none"/>
            <w10:anchorlock/>
          </v:shape>
          <o:OLEObject Type="Embed" ProgID="Equation.3" ShapeID="_x0000_i1032" DrawAspect="Content" ObjectID="_1468075732" r:id="rId29">
            <o:LockedField>false</o:LockedField>
          </o:OLEObject>
        </w:object>
      </w:r>
      <w:r>
        <w:rPr>
          <w:rFonts w:ascii="宋体" w:hAnsi="宋体"/>
          <w:sz w:val="24"/>
        </w:rPr>
        <w:t xml:space="preserve">                                     </w:t>
      </w:r>
      <w:r>
        <w:rPr>
          <w:rFonts w:hint="eastAsia" w:ascii="宋体" w:hAnsi="宋体"/>
          <w:sz w:val="24"/>
        </w:rPr>
        <w:t>（7）</w:t>
      </w:r>
    </w:p>
    <w:p w14:paraId="4BB718B8">
      <w:pPr>
        <w:spacing w:line="360" w:lineRule="auto"/>
        <w:ind w:firstLine="480" w:firstLineChars="200"/>
        <w:jc w:val="left"/>
        <w:rPr>
          <w:sz w:val="24"/>
        </w:rPr>
      </w:pPr>
      <w:r>
        <w:rPr>
          <w:rFonts w:hint="eastAsia"/>
          <w:sz w:val="24"/>
        </w:rPr>
        <w:t>式中</w:t>
      </w:r>
      <w:r>
        <w:rPr>
          <w:sz w:val="24"/>
        </w:rPr>
        <w:t>：</w:t>
      </w:r>
    </w:p>
    <w:p w14:paraId="7883E663">
      <w:pPr>
        <w:spacing w:line="440" w:lineRule="exact"/>
        <w:ind w:firstLine="480" w:firstLineChars="200"/>
        <w:rPr>
          <w:rFonts w:hint="eastAsia" w:ascii="宋体" w:hAnsi="宋体"/>
          <w:sz w:val="24"/>
        </w:rPr>
      </w:pPr>
      <w:r>
        <w:rPr>
          <w:rFonts w:ascii="宋体" w:hAnsi="宋体"/>
          <w:position w:val="-4"/>
          <w:sz w:val="24"/>
        </w:rPr>
        <w:object>
          <v:shape id="_x0000_i1033" o:spt="75" type="#_x0000_t75" style="height:15.4pt;width:21.5pt;" o:ole="t" filled="f" o:preferrelative="t" stroked="f" coordsize="21600,21600">
            <v:path/>
            <v:fill on="f" alignshape="1" focussize="0,0"/>
            <v:stroke on="f"/>
            <v:imagedata r:id="rId32" o:title=""/>
            <o:lock v:ext="edit" aspectratio="t"/>
            <w10:wrap type="none"/>
            <w10:anchorlock/>
          </v:shape>
          <o:OLEObject Type="Embed" ProgID="Equation.3" ShapeID="_x0000_i1033" DrawAspect="Content" ObjectID="_1468075733" r:id="rId31">
            <o:LockedField>false</o:LockedField>
          </o:OLEObject>
        </w:object>
      </w:r>
      <w:r>
        <w:rPr>
          <w:rFonts w:hint="eastAsia" w:ascii="宋体" w:hAnsi="宋体"/>
          <w:sz w:val="24"/>
        </w:rPr>
        <w:t xml:space="preserve"> ——温度</w:t>
      </w:r>
      <w:r>
        <w:rPr>
          <w:rFonts w:ascii="宋体" w:hAnsi="宋体"/>
          <w:sz w:val="24"/>
        </w:rPr>
        <w:t>示值误差</w:t>
      </w:r>
      <w:r>
        <w:rPr>
          <w:rFonts w:hint="eastAsia" w:ascii="宋体" w:hAnsi="宋体"/>
          <w:sz w:val="24"/>
        </w:rPr>
        <w:t>,℃；</w:t>
      </w:r>
    </w:p>
    <w:p w14:paraId="7F7F878B">
      <w:pPr>
        <w:spacing w:line="440" w:lineRule="exact"/>
        <w:ind w:firstLine="480" w:firstLineChars="200"/>
        <w:rPr>
          <w:rFonts w:hint="eastAsia" w:ascii="宋体" w:hAnsi="宋体"/>
          <w:sz w:val="24"/>
        </w:rPr>
      </w:pPr>
      <w:r>
        <w:rPr>
          <w:rFonts w:ascii="宋体" w:hAnsi="宋体"/>
          <w:position w:val="-4"/>
          <w:sz w:val="24"/>
        </w:rPr>
        <w:object>
          <v:shape id="_x0000_i1034" o:spt="75" type="#_x0000_t75" style="height:19.8pt;width:10.7pt;" o:ole="t" filled="f" o:preferrelative="t" stroked="f" coordsize="21600,21600">
            <v:path/>
            <v:fill on="f" alignshape="1" focussize="0,0"/>
            <v:stroke on="f"/>
            <v:imagedata r:id="rId28" o:title=""/>
            <o:lock v:ext="edit" aspectratio="t"/>
            <w10:wrap type="none"/>
            <w10:anchorlock/>
          </v:shape>
          <o:OLEObject Type="Embed" ProgID="Equation.3" ShapeID="_x0000_i1034" DrawAspect="Content" ObjectID="_1468075734" r:id="rId33">
            <o:LockedField>false</o:LockedField>
          </o:OLEObject>
        </w:object>
      </w:r>
      <w:r>
        <w:rPr>
          <w:rFonts w:ascii="宋体" w:hAnsi="宋体"/>
          <w:sz w:val="24"/>
        </w:rPr>
        <w:t>——</w:t>
      </w:r>
      <w:r>
        <w:rPr>
          <w:rFonts w:hint="eastAsia" w:ascii="宋体" w:hAnsi="宋体"/>
          <w:sz w:val="24"/>
        </w:rPr>
        <w:t>测温点温度读数的算术平均值,℃；</w:t>
      </w:r>
    </w:p>
    <w:p w14:paraId="582AE3C2">
      <w:pPr>
        <w:spacing w:line="440" w:lineRule="exact"/>
        <w:ind w:firstLine="480" w:firstLineChars="200"/>
        <w:rPr>
          <w:rFonts w:hint="eastAsia" w:ascii="宋体" w:hAnsi="宋体"/>
          <w:sz w:val="24"/>
        </w:rPr>
      </w:pPr>
      <w:r>
        <w:rPr>
          <w:rFonts w:hint="eastAsia" w:ascii="宋体" w:hAnsi="宋体"/>
          <w:sz w:val="24"/>
        </w:rPr>
        <w:t>t</w:t>
      </w:r>
      <w:r>
        <w:rPr>
          <w:rFonts w:ascii="宋体" w:hAnsi="宋体"/>
          <w:sz w:val="24"/>
          <w:vertAlign w:val="subscript"/>
        </w:rPr>
        <w:t>x</w:t>
      </w:r>
      <w:r>
        <w:rPr>
          <w:rFonts w:hint="eastAsia" w:ascii="宋体" w:hAnsi="宋体"/>
          <w:sz w:val="24"/>
        </w:rPr>
        <w:t>——测温点温度</w:t>
      </w:r>
      <w:r>
        <w:rPr>
          <w:rFonts w:ascii="宋体" w:hAnsi="宋体"/>
          <w:sz w:val="24"/>
        </w:rPr>
        <w:t>修正值</w:t>
      </w:r>
      <w:r>
        <w:rPr>
          <w:rFonts w:hint="eastAsia" w:ascii="宋体" w:hAnsi="宋体"/>
          <w:sz w:val="24"/>
        </w:rPr>
        <w:t>,℃；</w:t>
      </w:r>
    </w:p>
    <w:p w14:paraId="47F48334">
      <w:pPr>
        <w:spacing w:line="440" w:lineRule="exact"/>
        <w:ind w:firstLine="480" w:firstLineChars="200"/>
        <w:rPr>
          <w:rFonts w:hint="eastAsia" w:ascii="宋体" w:hAnsi="宋体"/>
          <w:sz w:val="24"/>
        </w:rPr>
      </w:pPr>
      <w:r>
        <w:rPr>
          <w:rFonts w:ascii="宋体" w:hAnsi="宋体"/>
          <w:sz w:val="24"/>
        </w:rPr>
        <w:t>t</w:t>
      </w:r>
      <w:r>
        <w:rPr>
          <w:rFonts w:ascii="宋体" w:hAnsi="宋体"/>
          <w:sz w:val="24"/>
          <w:vertAlign w:val="subscript"/>
        </w:rPr>
        <w:t>b</w:t>
      </w:r>
      <w:r>
        <w:rPr>
          <w:rFonts w:hint="eastAsia" w:ascii="宋体" w:hAnsi="宋体"/>
          <w:sz w:val="24"/>
        </w:rPr>
        <w:t>——标称温度,℃。</w:t>
      </w:r>
    </w:p>
    <w:p w14:paraId="4F675258">
      <w:pPr>
        <w:autoSpaceDE w:val="0"/>
        <w:autoSpaceDN w:val="0"/>
        <w:adjustRightInd w:val="0"/>
        <w:spacing w:line="500" w:lineRule="exact"/>
        <w:ind w:firstLine="460" w:firstLineChars="192"/>
        <w:rPr>
          <w:rFonts w:hint="eastAsia" w:ascii="宋体" w:hAnsi="宋体"/>
          <w:color w:val="020103"/>
          <w:sz w:val="24"/>
        </w:rPr>
      </w:pPr>
      <w:r>
        <w:rPr>
          <w:rFonts w:hint="eastAsia"/>
          <w:sz w:val="24"/>
        </w:rPr>
        <w:t>可根据</w:t>
      </w:r>
      <w:r>
        <w:rPr>
          <w:sz w:val="24"/>
        </w:rPr>
        <w:t>用户使用情况，</w:t>
      </w:r>
      <w:r>
        <w:rPr>
          <w:rFonts w:hint="eastAsia" w:ascii="宋体" w:hAnsi="宋体"/>
          <w:color w:val="020103"/>
          <w:sz w:val="24"/>
        </w:rPr>
        <w:t>选取一种</w:t>
      </w:r>
      <w:r>
        <w:rPr>
          <w:rFonts w:ascii="宋体" w:hAnsi="宋体"/>
          <w:color w:val="020103"/>
          <w:sz w:val="24"/>
        </w:rPr>
        <w:t>国家有证油品残炭标准</w:t>
      </w:r>
      <w:r>
        <w:rPr>
          <w:rFonts w:hint="eastAsia" w:ascii="宋体" w:hAnsi="宋体"/>
          <w:color w:val="020103"/>
          <w:sz w:val="24"/>
        </w:rPr>
        <w:t>物质</w:t>
      </w:r>
      <w:r>
        <w:rPr>
          <w:rFonts w:ascii="宋体" w:hAnsi="宋体"/>
          <w:color w:val="020103"/>
          <w:sz w:val="24"/>
        </w:rPr>
        <w:t>，</w:t>
      </w:r>
      <w:r>
        <w:rPr>
          <w:rFonts w:hint="eastAsia" w:ascii="宋体" w:hAnsi="宋体"/>
          <w:color w:val="020103"/>
          <w:sz w:val="24"/>
        </w:rPr>
        <w:t>按照说明</w:t>
      </w:r>
      <w:r>
        <w:rPr>
          <w:rFonts w:ascii="宋体" w:hAnsi="宋体"/>
          <w:color w:val="020103"/>
          <w:sz w:val="24"/>
        </w:rPr>
        <w:t>结合标准物质残炭含量决定取样量，</w:t>
      </w:r>
      <w:r>
        <w:rPr>
          <w:rFonts w:hint="eastAsia" w:ascii="宋体" w:hAnsi="宋体"/>
          <w:color w:val="020103"/>
          <w:sz w:val="24"/>
        </w:rPr>
        <w:t>称量三份</w:t>
      </w:r>
      <w:r>
        <w:rPr>
          <w:rFonts w:ascii="宋体" w:hAnsi="宋体"/>
          <w:color w:val="020103"/>
          <w:sz w:val="24"/>
        </w:rPr>
        <w:t>，</w:t>
      </w:r>
      <w:r>
        <w:rPr>
          <w:rFonts w:hint="eastAsia" w:ascii="宋体" w:hAnsi="宋体"/>
          <w:color w:val="020103"/>
          <w:sz w:val="24"/>
        </w:rPr>
        <w:t>放入</w:t>
      </w:r>
      <w:r>
        <w:rPr>
          <w:rFonts w:ascii="宋体" w:hAnsi="宋体"/>
          <w:color w:val="020103"/>
          <w:sz w:val="24"/>
        </w:rPr>
        <w:t>成焦箱</w:t>
      </w:r>
      <w:r>
        <w:rPr>
          <w:rFonts w:hint="eastAsia" w:ascii="宋体" w:hAnsi="宋体"/>
          <w:color w:val="020103"/>
          <w:sz w:val="24"/>
        </w:rPr>
        <w:t>，</w:t>
      </w:r>
      <w:r>
        <w:rPr>
          <w:rFonts w:ascii="宋体" w:hAnsi="宋体"/>
          <w:color w:val="020103"/>
          <w:sz w:val="24"/>
        </w:rPr>
        <w:t>开始测量</w:t>
      </w:r>
      <w:r>
        <w:rPr>
          <w:rFonts w:hint="eastAsia" w:ascii="宋体" w:hAnsi="宋体"/>
          <w:color w:val="020103"/>
          <w:sz w:val="24"/>
        </w:rPr>
        <w:t>。结束后称量</w:t>
      </w:r>
      <w:r>
        <w:rPr>
          <w:rFonts w:ascii="宋体" w:hAnsi="宋体"/>
          <w:color w:val="020103"/>
          <w:sz w:val="24"/>
        </w:rPr>
        <w:t>残留物质量，计算残炭值，</w:t>
      </w:r>
      <w:r>
        <w:rPr>
          <w:rFonts w:hint="eastAsia" w:ascii="宋体" w:hAnsi="宋体"/>
          <w:color w:val="020103"/>
          <w:sz w:val="24"/>
        </w:rPr>
        <w:t>示值误差</w:t>
      </w:r>
      <w:r>
        <w:rPr>
          <w:rFonts w:ascii="宋体" w:hAnsi="宋体"/>
          <w:color w:val="020103"/>
          <w:sz w:val="24"/>
        </w:rPr>
        <w:t>按照式（</w:t>
      </w:r>
      <w:r>
        <w:rPr>
          <w:rFonts w:hint="eastAsia" w:ascii="宋体" w:hAnsi="宋体"/>
          <w:color w:val="020103"/>
          <w:sz w:val="24"/>
        </w:rPr>
        <w:t>8</w:t>
      </w:r>
      <w:r>
        <w:rPr>
          <w:rFonts w:ascii="宋体" w:hAnsi="宋体"/>
          <w:color w:val="020103"/>
          <w:sz w:val="24"/>
        </w:rPr>
        <w:t>）</w:t>
      </w:r>
      <w:r>
        <w:rPr>
          <w:rFonts w:hint="eastAsia" w:ascii="宋体" w:hAnsi="宋体"/>
          <w:color w:val="020103"/>
          <w:sz w:val="24"/>
        </w:rPr>
        <w:t>，</w:t>
      </w:r>
      <w:r>
        <w:rPr>
          <w:rFonts w:ascii="宋体" w:hAnsi="宋体"/>
          <w:color w:val="020103"/>
          <w:sz w:val="24"/>
        </w:rPr>
        <w:t>重复性按照式（</w:t>
      </w:r>
      <w:r>
        <w:rPr>
          <w:rFonts w:hint="eastAsia" w:ascii="宋体" w:hAnsi="宋体"/>
          <w:color w:val="020103"/>
          <w:sz w:val="24"/>
        </w:rPr>
        <w:t>9</w:t>
      </w:r>
      <w:r>
        <w:rPr>
          <w:rFonts w:ascii="宋体" w:hAnsi="宋体"/>
          <w:color w:val="020103"/>
          <w:sz w:val="24"/>
        </w:rPr>
        <w:t>）</w:t>
      </w:r>
      <w:r>
        <w:rPr>
          <w:rFonts w:hint="eastAsia" w:ascii="宋体" w:hAnsi="宋体"/>
          <w:color w:val="020103"/>
          <w:sz w:val="24"/>
        </w:rPr>
        <w:t>。</w:t>
      </w:r>
    </w:p>
    <w:p w14:paraId="156AC7CD">
      <w:pPr>
        <w:spacing w:line="440" w:lineRule="exact"/>
        <w:ind w:firstLine="480"/>
        <w:rPr>
          <w:rFonts w:hint="eastAsia"/>
          <w:sz w:val="24"/>
        </w:rPr>
      </w:pPr>
    </w:p>
    <w:p w14:paraId="4500E73B">
      <w:pPr>
        <w:ind w:firstLine="482"/>
        <w:jc w:val="center"/>
        <w:rPr>
          <w:rFonts w:hint="eastAsia"/>
          <w:sz w:val="24"/>
        </w:rPr>
      </w:pPr>
      <w:r>
        <w:rPr>
          <w:rFonts w:hint="eastAsia"/>
          <w:sz w:val="24"/>
        </w:rPr>
        <w:t xml:space="preserve">                     </w:t>
      </w:r>
      <w:r>
        <w:rPr>
          <w:rFonts w:ascii="宋体" w:cs="宋体"/>
          <w:color w:val="000000"/>
          <w:kern w:val="0"/>
          <w:position w:val="-12"/>
          <w:sz w:val="24"/>
        </w:rPr>
        <w:object>
          <v:shape id="_x0000_i1035" o:spt="75" type="#_x0000_t75" style="height:23.5pt;width:65.5pt;" o:ole="t" filled="f" o:preferrelative="t" stroked="f" coordsize="21600,21600">
            <v:path/>
            <v:fill on="f" focussize="0,0"/>
            <v:stroke on="f"/>
            <v:imagedata r:id="rId35" o:title=""/>
            <o:lock v:ext="edit" aspectratio="t"/>
            <w10:wrap type="none"/>
            <w10:anchorlock/>
          </v:shape>
          <o:OLEObject Type="Embed" ProgID="Equation.3" ShapeID="_x0000_i1035" DrawAspect="Content" ObjectID="_1468075735" r:id="rId34">
            <o:LockedField>false</o:LockedField>
          </o:OLEObject>
        </w:object>
      </w:r>
      <w:r>
        <w:rPr>
          <w:rFonts w:hint="eastAsia"/>
          <w:sz w:val="24"/>
        </w:rPr>
        <w:t xml:space="preserve">              </w:t>
      </w:r>
      <w:r>
        <w:rPr>
          <w:sz w:val="24"/>
        </w:rPr>
        <w:t xml:space="preserve">    </w:t>
      </w:r>
      <w:r>
        <w:rPr>
          <w:rFonts w:hint="eastAsia"/>
          <w:sz w:val="24"/>
        </w:rPr>
        <w:t>（</w:t>
      </w:r>
      <w:r>
        <w:rPr>
          <w:sz w:val="24"/>
        </w:rPr>
        <w:t>8</w:t>
      </w:r>
      <w:r>
        <w:rPr>
          <w:rFonts w:hint="eastAsia"/>
          <w:sz w:val="24"/>
        </w:rPr>
        <w:t>）</w:t>
      </w:r>
    </w:p>
    <w:p w14:paraId="6DD05BD3">
      <w:pPr>
        <w:ind w:firstLine="482"/>
        <w:jc w:val="center"/>
        <w:rPr>
          <w:rFonts w:hint="eastAsia"/>
          <w:sz w:val="24"/>
        </w:rPr>
      </w:pPr>
      <w:r>
        <w:rPr>
          <w:rFonts w:ascii="宋体" w:cs="宋体"/>
          <w:color w:val="000000"/>
          <w:kern w:val="0"/>
          <w:sz w:val="24"/>
        </w:rPr>
        <w:t xml:space="preserve">                      </w:t>
      </w:r>
      <w:r>
        <w:rPr>
          <w:rFonts w:ascii="宋体" w:cs="宋体"/>
          <w:color w:val="000000"/>
          <w:kern w:val="0"/>
          <w:position w:val="-12"/>
          <w:sz w:val="24"/>
        </w:rPr>
        <w:object>
          <v:shape id="_x0000_i1036" o:spt="75" type="#_x0000_t75" style="height:21.1pt;width:86.45pt;" o:ole="t" filled="f" o:preferrelative="t" stroked="f" coordsize="21600,21600">
            <v:path/>
            <v:fill on="f" focussize="0,0"/>
            <v:stroke on="f"/>
            <v:imagedata r:id="rId37" o:title=""/>
            <o:lock v:ext="edit" aspectratio="t"/>
            <w10:wrap type="none"/>
            <w10:anchorlock/>
          </v:shape>
          <o:OLEObject Type="Embed" ProgID="Equation.3" ShapeID="_x0000_i1036" DrawAspect="Content" ObjectID="_1468075736" r:id="rId36">
            <o:LockedField>false</o:LockedField>
          </o:OLEObject>
        </w:object>
      </w:r>
      <w:r>
        <w:rPr>
          <w:rFonts w:ascii="宋体" w:cs="宋体"/>
          <w:color w:val="000000"/>
          <w:kern w:val="0"/>
          <w:sz w:val="24"/>
        </w:rPr>
        <w:t xml:space="preserve">               </w:t>
      </w:r>
      <w:r>
        <w:rPr>
          <w:rFonts w:hint="eastAsia" w:ascii="宋体" w:cs="宋体"/>
          <w:color w:val="000000"/>
          <w:kern w:val="0"/>
          <w:sz w:val="24"/>
        </w:rPr>
        <w:t>（9）</w:t>
      </w:r>
    </w:p>
    <w:p w14:paraId="60EC60C4">
      <w:pPr>
        <w:spacing w:line="360" w:lineRule="auto"/>
        <w:ind w:firstLine="480" w:firstLineChars="200"/>
        <w:rPr>
          <w:sz w:val="24"/>
        </w:rPr>
      </w:pPr>
      <w:r>
        <w:rPr>
          <w:rFonts w:hAnsi="宋体"/>
          <w:sz w:val="24"/>
        </w:rPr>
        <w:t>式中：</w:t>
      </w:r>
    </w:p>
    <w:p w14:paraId="5009E36B">
      <w:pPr>
        <w:spacing w:line="360" w:lineRule="auto"/>
        <w:ind w:firstLine="480" w:firstLineChars="200"/>
        <w:jc w:val="left"/>
        <w:rPr>
          <w:rFonts w:hAnsi="宋体"/>
          <w:sz w:val="24"/>
        </w:rPr>
      </w:pPr>
      <w:r>
        <w:rPr>
          <w:rFonts w:ascii="宋体" w:cs="宋体"/>
          <w:color w:val="000000"/>
          <w:kern w:val="0"/>
          <w:position w:val="-6"/>
          <w:sz w:val="24"/>
        </w:rPr>
        <w:object>
          <v:shape id="_x0000_i1037" o:spt="75" type="#_x0000_t75" style="height:16.4pt;width:19.95pt;" o:ole="t" filled="f" o:preferrelative="t" stroked="f" coordsize="21600,21600">
            <v:path/>
            <v:fill on="f" focussize="0,0"/>
            <v:stroke on="f"/>
            <v:imagedata r:id="rId39" o:title=""/>
            <o:lock v:ext="edit" aspectratio="t"/>
            <w10:wrap type="none"/>
            <w10:anchorlock/>
          </v:shape>
          <o:OLEObject Type="Embed" ProgID="Equation.3" ShapeID="_x0000_i1037" DrawAspect="Content" ObjectID="_1468075737" r:id="rId38">
            <o:LockedField>false</o:LockedField>
          </o:OLEObject>
        </w:object>
      </w:r>
      <w:r>
        <w:rPr>
          <w:sz w:val="24"/>
        </w:rPr>
        <w:t>——</w:t>
      </w:r>
      <w:r>
        <w:rPr>
          <w:rFonts w:hint="eastAsia"/>
          <w:sz w:val="24"/>
        </w:rPr>
        <w:t>示值误差，</w:t>
      </w:r>
      <w:r>
        <w:rPr>
          <w:sz w:val="24"/>
        </w:rPr>
        <w:t>%</w:t>
      </w:r>
      <w:r>
        <w:rPr>
          <w:rFonts w:hAnsi="宋体"/>
          <w:sz w:val="24"/>
        </w:rPr>
        <w:t>；</w:t>
      </w:r>
    </w:p>
    <w:p w14:paraId="14DC1126">
      <w:pPr>
        <w:spacing w:line="360" w:lineRule="auto"/>
        <w:ind w:firstLine="480" w:firstLineChars="200"/>
        <w:jc w:val="left"/>
        <w:rPr>
          <w:rFonts w:hint="eastAsia"/>
          <w:sz w:val="24"/>
        </w:rPr>
      </w:pPr>
      <w:r>
        <w:rPr>
          <w:rFonts w:hint="eastAsia" w:hAnsi="宋体"/>
          <w:sz w:val="24"/>
        </w:rPr>
        <w:t>R</w:t>
      </w:r>
      <w:r>
        <w:rPr>
          <w:rFonts w:hAnsi="宋体"/>
          <w:sz w:val="24"/>
        </w:rPr>
        <w:t>——重复性，</w:t>
      </w:r>
      <w:r>
        <w:rPr>
          <w:rFonts w:hint="eastAsia" w:hAnsi="宋体"/>
          <w:sz w:val="24"/>
        </w:rPr>
        <w:t>%；</w:t>
      </w:r>
    </w:p>
    <w:p w14:paraId="432AA5DE">
      <w:pPr>
        <w:spacing w:line="360" w:lineRule="auto"/>
        <w:jc w:val="left"/>
        <w:rPr>
          <w:rFonts w:hint="eastAsia" w:hAnsi="宋体"/>
          <w:sz w:val="24"/>
        </w:rPr>
      </w:pPr>
      <w:r>
        <w:rPr>
          <w:sz w:val="24"/>
        </w:rPr>
        <w:t xml:space="preserve">    X</w:t>
      </w:r>
      <w:r>
        <w:rPr>
          <w:sz w:val="24"/>
          <w:vertAlign w:val="subscript"/>
        </w:rPr>
        <w:t>s</w:t>
      </w:r>
      <w:r>
        <w:rPr>
          <w:sz w:val="24"/>
        </w:rPr>
        <w:t>——</w:t>
      </w:r>
      <w:r>
        <w:rPr>
          <w:rFonts w:hint="eastAsia" w:hAnsi="宋体"/>
          <w:sz w:val="24"/>
        </w:rPr>
        <w:t>标准</w:t>
      </w:r>
      <w:r>
        <w:rPr>
          <w:rFonts w:hAnsi="宋体"/>
          <w:sz w:val="24"/>
        </w:rPr>
        <w:t>物质标称值</w:t>
      </w:r>
      <w:r>
        <w:rPr>
          <w:rFonts w:hint="eastAsia" w:hAnsi="宋体"/>
          <w:sz w:val="24"/>
        </w:rPr>
        <w:t>，</w:t>
      </w:r>
      <w:r>
        <w:rPr>
          <w:rFonts w:hAnsi="宋体"/>
          <w:sz w:val="24"/>
        </w:rPr>
        <w:t>%</w:t>
      </w:r>
      <w:r>
        <w:rPr>
          <w:rFonts w:hint="eastAsia" w:hAnsi="宋体"/>
          <w:sz w:val="24"/>
        </w:rPr>
        <w:t>；</w:t>
      </w:r>
    </w:p>
    <w:p w14:paraId="5AEFBF2B">
      <w:pPr>
        <w:spacing w:line="360" w:lineRule="auto"/>
        <w:ind w:firstLine="480" w:firstLineChars="200"/>
        <w:jc w:val="left"/>
        <w:rPr>
          <w:rFonts w:hint="eastAsia" w:hAnsi="宋体"/>
          <w:sz w:val="24"/>
        </w:rPr>
      </w:pPr>
      <w:r>
        <w:rPr>
          <w:position w:val="-6"/>
          <w:sz w:val="24"/>
        </w:rPr>
        <w:object>
          <v:shape id="_x0000_i1038" o:spt="75" type="#_x0000_t75" style="height:17pt;width:12pt;" o:ole="t" filled="f" o:preferrelative="t" stroked="f" coordsize="21600,21600">
            <v:path/>
            <v:fill on="f" alignshape="1" focussize="0,0"/>
            <v:stroke on="f"/>
            <v:imagedata r:id="rId41" o:title=""/>
            <o:lock v:ext="edit" aspectratio="t"/>
            <w10:wrap type="none"/>
            <w10:anchorlock/>
          </v:shape>
          <o:OLEObject Type="Embed" ProgID="Equation.KSEE3" ShapeID="_x0000_i1038" DrawAspect="Content" ObjectID="_1468075738" r:id="rId40">
            <o:LockedField>false</o:LockedField>
          </o:OLEObject>
        </w:object>
      </w:r>
      <w:r>
        <w:rPr>
          <w:sz w:val="24"/>
        </w:rPr>
        <w:t>——</w:t>
      </w:r>
      <w:r>
        <w:rPr>
          <w:rFonts w:hAnsi="宋体"/>
          <w:sz w:val="24"/>
        </w:rPr>
        <w:t>3</w:t>
      </w:r>
      <w:r>
        <w:rPr>
          <w:rFonts w:hint="eastAsia" w:hAnsi="宋体"/>
          <w:sz w:val="24"/>
        </w:rPr>
        <w:t>次</w:t>
      </w:r>
      <w:r>
        <w:rPr>
          <w:rFonts w:hAnsi="宋体"/>
          <w:sz w:val="24"/>
        </w:rPr>
        <w:t>测量结果的平均值</w:t>
      </w:r>
      <w:r>
        <w:rPr>
          <w:rFonts w:hint="eastAsia" w:hAnsi="宋体"/>
          <w:sz w:val="24"/>
        </w:rPr>
        <w:t>，</w:t>
      </w:r>
      <w:r>
        <w:rPr>
          <w:rFonts w:hAnsi="宋体"/>
          <w:sz w:val="24"/>
        </w:rPr>
        <w:t>%</w:t>
      </w:r>
      <w:r>
        <w:rPr>
          <w:rFonts w:hint="eastAsia" w:hAnsi="宋体"/>
          <w:sz w:val="24"/>
        </w:rPr>
        <w:t>；</w:t>
      </w:r>
    </w:p>
    <w:p w14:paraId="65F14657">
      <w:pPr>
        <w:spacing w:line="440" w:lineRule="exact"/>
        <w:ind w:firstLine="480"/>
        <w:rPr>
          <w:rFonts w:hAnsi="宋体"/>
          <w:sz w:val="24"/>
        </w:rPr>
      </w:pPr>
      <w:r>
        <w:rPr>
          <w:sz w:val="24"/>
        </w:rPr>
        <w:t>X</w:t>
      </w:r>
      <w:r>
        <w:rPr>
          <w:sz w:val="24"/>
          <w:vertAlign w:val="subscript"/>
        </w:rPr>
        <w:t>max</w:t>
      </w:r>
      <w:r>
        <w:rPr>
          <w:sz w:val="24"/>
        </w:rPr>
        <w:t>——3</w:t>
      </w:r>
      <w:r>
        <w:rPr>
          <w:rFonts w:hint="eastAsia"/>
          <w:sz w:val="24"/>
        </w:rPr>
        <w:t>次测量</w:t>
      </w:r>
      <w:r>
        <w:rPr>
          <w:sz w:val="24"/>
        </w:rPr>
        <w:t>结果中的最大值，</w:t>
      </w:r>
      <w:r>
        <w:rPr>
          <w:rFonts w:hAnsi="宋体"/>
          <w:sz w:val="24"/>
        </w:rPr>
        <w:t>%</w:t>
      </w:r>
      <w:r>
        <w:rPr>
          <w:rFonts w:hint="eastAsia" w:hAnsi="宋体"/>
          <w:sz w:val="24"/>
        </w:rPr>
        <w:t>；</w:t>
      </w:r>
    </w:p>
    <w:p w14:paraId="4024B745">
      <w:pPr>
        <w:widowControl/>
        <w:spacing w:line="440" w:lineRule="exact"/>
        <w:ind w:firstLine="480" w:firstLineChars="200"/>
        <w:jc w:val="left"/>
        <w:rPr>
          <w:rFonts w:hint="eastAsia" w:hAnsi="宋体"/>
          <w:sz w:val="24"/>
        </w:rPr>
      </w:pPr>
      <w:r>
        <w:rPr>
          <w:sz w:val="24"/>
        </w:rPr>
        <w:t>X</w:t>
      </w:r>
      <w:r>
        <w:rPr>
          <w:sz w:val="24"/>
          <w:vertAlign w:val="subscript"/>
        </w:rPr>
        <w:t>min</w:t>
      </w:r>
      <w:r>
        <w:rPr>
          <w:sz w:val="24"/>
        </w:rPr>
        <w:t>——3</w:t>
      </w:r>
      <w:r>
        <w:rPr>
          <w:rFonts w:hint="eastAsia"/>
          <w:sz w:val="24"/>
        </w:rPr>
        <w:t>次测量</w:t>
      </w:r>
      <w:r>
        <w:rPr>
          <w:sz w:val="24"/>
        </w:rPr>
        <w:t>结果中的最</w:t>
      </w:r>
      <w:r>
        <w:rPr>
          <w:rFonts w:hint="eastAsia"/>
          <w:sz w:val="24"/>
        </w:rPr>
        <w:t>小</w:t>
      </w:r>
      <w:r>
        <w:rPr>
          <w:sz w:val="24"/>
        </w:rPr>
        <w:t>值，</w:t>
      </w:r>
      <w:r>
        <w:rPr>
          <w:rFonts w:hAnsi="宋体"/>
          <w:sz w:val="24"/>
        </w:rPr>
        <w:t>%</w:t>
      </w:r>
      <w:r>
        <w:rPr>
          <w:rFonts w:hint="eastAsia" w:hAnsi="宋体"/>
          <w:sz w:val="24"/>
        </w:rPr>
        <w:t>；</w:t>
      </w:r>
    </w:p>
    <w:p w14:paraId="5F70B862">
      <w:pPr>
        <w:widowControl/>
        <w:spacing w:line="440" w:lineRule="exact"/>
        <w:jc w:val="left"/>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3.3  试验结果、结论</w:t>
      </w:r>
    </w:p>
    <w:p w14:paraId="554DD47D">
      <w:pPr>
        <w:autoSpaceDE w:val="0"/>
        <w:autoSpaceDN w:val="0"/>
        <w:adjustRightInd w:val="0"/>
        <w:spacing w:line="500" w:lineRule="exact"/>
        <w:ind w:firstLine="460" w:firstLineChars="192"/>
        <w:rPr>
          <w:rFonts w:ascii="宋体" w:cs="宋体"/>
          <w:color w:val="000000"/>
          <w:kern w:val="0"/>
          <w:sz w:val="24"/>
        </w:rPr>
      </w:pPr>
      <w:r>
        <w:rPr>
          <w:rFonts w:hint="eastAsia" w:ascii="宋体" w:cs="宋体"/>
          <w:color w:val="000000"/>
          <w:kern w:val="0"/>
          <w:sz w:val="24"/>
          <w:lang w:val="en-US" w:eastAsia="zh-CN"/>
        </w:rPr>
        <w:t>1</w:t>
      </w:r>
      <w:r>
        <w:rPr>
          <w:rFonts w:hint="eastAsia" w:ascii="宋体" w:cs="宋体"/>
          <w:color w:val="000000"/>
          <w:kern w:val="0"/>
          <w:sz w:val="24"/>
        </w:rPr>
        <w:t>、整机示值</w:t>
      </w:r>
      <w:r>
        <w:rPr>
          <w:rFonts w:ascii="宋体" w:cs="宋体"/>
          <w:color w:val="000000"/>
          <w:kern w:val="0"/>
          <w:sz w:val="24"/>
        </w:rPr>
        <w:t>误差</w:t>
      </w:r>
      <w:r>
        <w:rPr>
          <w:rFonts w:hint="eastAsia" w:ascii="宋体" w:cs="宋体"/>
          <w:color w:val="000000"/>
          <w:kern w:val="0"/>
          <w:sz w:val="24"/>
        </w:rPr>
        <w:t>校准</w:t>
      </w:r>
    </w:p>
    <w:p w14:paraId="6944121D">
      <w:pPr>
        <w:spacing w:line="360" w:lineRule="auto"/>
        <w:ind w:firstLine="480" w:firstLineChars="200"/>
        <w:jc w:val="left"/>
        <w:rPr>
          <w:rFonts w:hint="default" w:ascii="宋体" w:hAnsi="宋体" w:eastAsia="宋体"/>
          <w:sz w:val="24"/>
          <w:lang w:val="en-US" w:eastAsia="zh-CN"/>
        </w:rPr>
      </w:pPr>
      <w:r>
        <w:rPr>
          <w:rFonts w:hint="eastAsia" w:ascii="宋体" w:hAnsi="宋体"/>
          <w:sz w:val="24"/>
        </w:rPr>
        <w:t>示值误差指的是仪器连续测量标准物质</w:t>
      </w:r>
      <w:r>
        <w:rPr>
          <w:rFonts w:ascii="宋体" w:hAnsi="宋体"/>
          <w:sz w:val="24"/>
        </w:rPr>
        <w:t>3</w:t>
      </w:r>
      <w:r>
        <w:rPr>
          <w:rFonts w:hint="eastAsia" w:ascii="宋体" w:hAnsi="宋体"/>
          <w:sz w:val="24"/>
        </w:rPr>
        <w:t>次结果的算术平均值与标准值之间的相对误差。目前返回</w:t>
      </w:r>
      <w:r>
        <w:rPr>
          <w:rFonts w:ascii="宋体" w:hAnsi="宋体"/>
          <w:sz w:val="24"/>
        </w:rPr>
        <w:t>一定数据，</w:t>
      </w:r>
      <w:r>
        <w:rPr>
          <w:rFonts w:hint="eastAsia" w:ascii="宋体" w:hAnsi="宋体"/>
          <w:sz w:val="24"/>
        </w:rPr>
        <w:t>对累积的残炭值测试结果进行分析，</w:t>
      </w:r>
      <w:r>
        <w:rPr>
          <w:rFonts w:hint="eastAsia" w:ascii="宋体" w:hAnsi="宋体"/>
          <w:sz w:val="24"/>
          <w:lang w:eastAsia="zh-CN"/>
        </w:rPr>
        <w:t>目前获得的残炭值</w:t>
      </w:r>
      <w:r>
        <w:rPr>
          <w:rFonts w:hint="eastAsia" w:ascii="宋体" w:hAnsi="宋体"/>
          <w:sz w:val="24"/>
        </w:rPr>
        <w:t>以</w:t>
      </w:r>
      <w:r>
        <w:rPr>
          <w:rFonts w:ascii="宋体" w:hAnsi="宋体"/>
          <w:sz w:val="24"/>
        </w:rPr>
        <w:t>3</w:t>
      </w:r>
      <w:r>
        <w:rPr>
          <w:rFonts w:hint="eastAsia" w:ascii="宋体" w:hAnsi="宋体"/>
          <w:sz w:val="24"/>
        </w:rPr>
        <w:t>个</w:t>
      </w:r>
      <w:r>
        <w:rPr>
          <w:rFonts w:ascii="宋体" w:hAnsi="宋体"/>
          <w:sz w:val="24"/>
        </w:rPr>
        <w:t>数据为一组</w:t>
      </w:r>
      <w:r>
        <w:rPr>
          <w:rFonts w:hint="eastAsia" w:ascii="宋体" w:hAnsi="宋体"/>
          <w:sz w:val="24"/>
        </w:rPr>
        <w:t>，</w:t>
      </w:r>
      <w:r>
        <w:rPr>
          <w:rFonts w:hint="eastAsia" w:ascii="宋体" w:hAnsi="宋体"/>
          <w:sz w:val="24"/>
          <w:lang w:eastAsia="zh-CN"/>
        </w:rPr>
        <w:t>共获得</w:t>
      </w:r>
      <w:r>
        <w:rPr>
          <w:rFonts w:hint="eastAsia" w:ascii="宋体" w:hAnsi="宋体"/>
          <w:sz w:val="24"/>
          <w:lang w:val="en-US" w:eastAsia="zh-CN"/>
        </w:rPr>
        <w:t>131组数据，根据标准物质不确定和示值误差出现概率的初步统计，残炭值应该分段进行，131组数据按照残炭含量大小，分为大于5%，5%-0.2%，小于0.2%三个分段，大于5%分段中数据有60组，5%-0.2%段中有48组，小于0.2%分段中有23组。首先</w:t>
      </w:r>
      <w:r>
        <w:rPr>
          <w:rFonts w:hint="eastAsia" w:ascii="宋体" w:hAnsi="宋体"/>
          <w:sz w:val="24"/>
        </w:rPr>
        <w:t>根据格拉布斯法</w:t>
      </w:r>
      <w:r>
        <w:rPr>
          <w:rFonts w:hint="eastAsia" w:ascii="宋体" w:hAnsi="宋体"/>
          <w:sz w:val="24"/>
          <w:lang w:eastAsia="zh-CN"/>
        </w:rPr>
        <w:t>，排除</w:t>
      </w:r>
      <w:r>
        <w:rPr>
          <w:rFonts w:hint="eastAsia" w:ascii="宋体" w:hAnsi="宋体"/>
          <w:sz w:val="24"/>
          <w:lang w:val="en-US" w:eastAsia="zh-CN"/>
        </w:rPr>
        <w:t>4组异常值</w:t>
      </w:r>
      <w:r>
        <w:rPr>
          <w:rFonts w:hint="eastAsia" w:ascii="宋体" w:hAnsi="宋体"/>
          <w:sz w:val="24"/>
        </w:rPr>
        <w:t>，</w:t>
      </w:r>
      <w:r>
        <w:rPr>
          <w:rFonts w:hint="eastAsia" w:ascii="宋体" w:hAnsi="宋体"/>
          <w:sz w:val="24"/>
          <w:lang w:val="en-US" w:eastAsia="zh-CN"/>
        </w:rPr>
        <w:t>使用夏皮罗-威尔克进行正态分布检验，</w:t>
      </w:r>
      <w:r>
        <w:rPr>
          <w:rFonts w:hint="eastAsia" w:ascii="宋体" w:hAnsi="宋体"/>
          <w:sz w:val="24"/>
        </w:rPr>
        <w:t>有效数据为</w:t>
      </w:r>
      <w:r>
        <w:rPr>
          <w:rFonts w:hint="eastAsia" w:ascii="宋体" w:hAnsi="宋体"/>
          <w:sz w:val="24"/>
          <w:lang w:val="en-US" w:eastAsia="zh-CN"/>
        </w:rPr>
        <w:t>127</w:t>
      </w:r>
      <w:r>
        <w:rPr>
          <w:rFonts w:hint="eastAsia" w:ascii="宋体" w:hAnsi="宋体"/>
          <w:sz w:val="24"/>
        </w:rPr>
        <w:t>组，其</w:t>
      </w:r>
      <w:r>
        <w:rPr>
          <w:rFonts w:ascii="宋体" w:hAnsi="宋体"/>
          <w:sz w:val="24"/>
        </w:rPr>
        <w:t>示值误差</w:t>
      </w:r>
      <w:r>
        <w:rPr>
          <w:rFonts w:ascii="宋体" w:hAnsi="宋体"/>
          <w:i/>
          <w:iCs/>
          <w:sz w:val="24"/>
        </w:rPr>
        <w:t>δ</w:t>
      </w:r>
      <w:r>
        <w:rPr>
          <w:rFonts w:ascii="宋体" w:hAnsi="宋体"/>
          <w:sz w:val="24"/>
          <w:vertAlign w:val="subscript"/>
        </w:rPr>
        <w:t>err</w:t>
      </w:r>
      <w:r>
        <w:rPr>
          <w:rFonts w:hint="eastAsia" w:ascii="宋体" w:hAnsi="宋体"/>
          <w:sz w:val="24"/>
        </w:rPr>
        <w:t>为</w:t>
      </w:r>
      <w:r>
        <w:rPr>
          <w:rFonts w:hint="eastAsia" w:ascii="宋体" w:hAnsi="宋体"/>
          <w:sz w:val="24"/>
          <w:lang w:eastAsia="zh-CN"/>
        </w:rPr>
        <w:t>绝对</w:t>
      </w:r>
      <w:r>
        <w:rPr>
          <w:rFonts w:hint="eastAsia" w:ascii="宋体" w:hAnsi="宋体"/>
          <w:sz w:val="24"/>
        </w:rPr>
        <w:t>示值误差的</w:t>
      </w:r>
      <w:r>
        <w:rPr>
          <w:rFonts w:ascii="宋体" w:hAnsi="宋体"/>
          <w:sz w:val="24"/>
        </w:rPr>
        <w:t>绝对值</w:t>
      </w:r>
      <w:r>
        <w:rPr>
          <w:rFonts w:hint="eastAsia" w:ascii="宋体" w:hAnsi="宋体"/>
          <w:sz w:val="24"/>
        </w:rPr>
        <w:t>。</w:t>
      </w:r>
      <w:r>
        <w:rPr>
          <w:rFonts w:ascii="宋体" w:hAnsi="宋体"/>
          <w:sz w:val="24"/>
        </w:rPr>
        <w:t>在</w:t>
      </w:r>
      <w:r>
        <w:rPr>
          <w:rFonts w:hint="eastAsia" w:ascii="宋体" w:hAnsi="宋体"/>
          <w:sz w:val="24"/>
        </w:rPr>
        <w:t>对示值误差在特定区间内出现的概率作了计算，其中</w:t>
      </w:r>
      <w:r>
        <w:rPr>
          <w:rFonts w:ascii="宋体" w:hAnsi="宋体"/>
          <w:sz w:val="24"/>
        </w:rPr>
        <w:t>“出现概率”</w:t>
      </w:r>
      <w:r>
        <w:rPr>
          <w:rFonts w:hint="eastAsia" w:ascii="宋体" w:hAnsi="宋体"/>
          <w:sz w:val="24"/>
        </w:rPr>
        <w:t>是指，从</w:t>
      </w:r>
      <w:r>
        <w:rPr>
          <w:rFonts w:ascii="宋体" w:hAnsi="宋体"/>
          <w:sz w:val="24"/>
        </w:rPr>
        <w:t>0</w:t>
      </w:r>
      <w:r>
        <w:rPr>
          <w:rFonts w:hint="eastAsia" w:ascii="宋体" w:hAnsi="宋体"/>
          <w:sz w:val="24"/>
        </w:rPr>
        <w:t>至本区间实际出现次数之和与总试验次数之比。</w:t>
      </w:r>
      <w:r>
        <w:rPr>
          <w:rFonts w:hint="eastAsia" w:ascii="宋体" w:hAnsi="宋体"/>
          <w:sz w:val="24"/>
          <w:lang w:eastAsia="zh-CN"/>
        </w:rPr>
        <w:t>示值误差统计结果见表</w:t>
      </w:r>
      <w:r>
        <w:rPr>
          <w:rFonts w:hint="eastAsia" w:ascii="宋体" w:hAnsi="宋体"/>
          <w:sz w:val="24"/>
          <w:lang w:val="en-US" w:eastAsia="zh-CN"/>
        </w:rPr>
        <w:t>7。</w:t>
      </w:r>
    </w:p>
    <w:p w14:paraId="1042BF17">
      <w:pPr>
        <w:spacing w:line="360" w:lineRule="auto"/>
        <w:jc w:val="center"/>
        <w:rPr>
          <w:rFonts w:hint="eastAsia" w:ascii="宋体" w:cs="宋体"/>
          <w:color w:val="000000"/>
          <w:kern w:val="0"/>
          <w:sz w:val="24"/>
        </w:rPr>
      </w:pPr>
      <w:r>
        <w:rPr>
          <w:rFonts w:hint="eastAsia" w:ascii="宋体" w:cs="宋体"/>
          <w:color w:val="000000"/>
          <w:kern w:val="0"/>
          <w:sz w:val="24"/>
        </w:rPr>
        <w:t>表</w:t>
      </w:r>
      <w:bookmarkStart w:id="23" w:name="OLE_LINK23"/>
      <w:bookmarkStart w:id="24" w:name="OLE_LINK20"/>
      <w:r>
        <w:rPr>
          <w:rFonts w:hint="eastAsia" w:ascii="宋体" w:cs="宋体"/>
          <w:color w:val="000000"/>
          <w:kern w:val="0"/>
          <w:sz w:val="24"/>
          <w:lang w:val="en-US" w:eastAsia="zh-CN"/>
        </w:rPr>
        <w:t>7</w:t>
      </w:r>
      <w:r>
        <w:rPr>
          <w:rFonts w:ascii="宋体" w:cs="宋体"/>
          <w:color w:val="000000"/>
          <w:kern w:val="0"/>
          <w:sz w:val="24"/>
        </w:rPr>
        <w:t>示值误差的统计结果</w:t>
      </w:r>
      <w:bookmarkEnd w:id="23"/>
      <w:bookmarkEnd w:id="24"/>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2156"/>
        <w:gridCol w:w="2113"/>
        <w:gridCol w:w="2131"/>
      </w:tblGrid>
      <w:tr w14:paraId="2128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noWrap w:val="0"/>
            <w:vAlign w:val="center"/>
          </w:tcPr>
          <w:p w14:paraId="04448751">
            <w:pPr>
              <w:jc w:val="center"/>
              <w:rPr>
                <w:rFonts w:hint="default" w:eastAsia="宋体"/>
                <w:b/>
                <w:bCs/>
                <w:lang w:val="en-US" w:eastAsia="zh-CN"/>
              </w:rPr>
            </w:pPr>
            <w:bookmarkStart w:id="25" w:name="OLE_LINK24"/>
            <w:bookmarkStart w:id="26" w:name="OLE_LINK25"/>
            <w:r>
              <w:rPr>
                <w:rFonts w:hint="eastAsia"/>
                <w:b/>
                <w:bCs/>
                <w:lang w:eastAsia="zh-CN"/>
              </w:rPr>
              <w:t>残炭值</w:t>
            </w:r>
            <w:r>
              <w:rPr>
                <w:rFonts w:hint="eastAsia"/>
                <w:b/>
                <w:bCs/>
                <w:lang w:val="en-US" w:eastAsia="zh-CN"/>
              </w:rPr>
              <w:t>x/%</w:t>
            </w:r>
          </w:p>
        </w:tc>
        <w:tc>
          <w:tcPr>
            <w:tcW w:w="2156" w:type="dxa"/>
            <w:tcBorders>
              <w:top w:val="single" w:color="auto" w:sz="4" w:space="0"/>
              <w:left w:val="single" w:color="auto" w:sz="4" w:space="0"/>
              <w:bottom w:val="single" w:color="auto" w:sz="4" w:space="0"/>
              <w:right w:val="single" w:color="auto" w:sz="4" w:space="0"/>
            </w:tcBorders>
            <w:noWrap w:val="0"/>
            <w:vAlign w:val="center"/>
          </w:tcPr>
          <w:p w14:paraId="4B79B639">
            <w:pPr>
              <w:jc w:val="center"/>
              <w:rPr>
                <w:b/>
                <w:bCs/>
              </w:rPr>
            </w:pPr>
            <w:r>
              <w:rPr>
                <w:rFonts w:hint="eastAsia"/>
                <w:b/>
                <w:bCs/>
              </w:rPr>
              <w:t>示值误差</w:t>
            </w:r>
            <w:r>
              <w:rPr>
                <w:b/>
                <w:bCs/>
              </w:rPr>
              <w:t>δerr/%</w:t>
            </w:r>
          </w:p>
        </w:tc>
        <w:tc>
          <w:tcPr>
            <w:tcW w:w="2113" w:type="dxa"/>
            <w:tcBorders>
              <w:top w:val="single" w:color="auto" w:sz="4" w:space="0"/>
              <w:left w:val="single" w:color="auto" w:sz="4" w:space="0"/>
              <w:bottom w:val="single" w:color="auto" w:sz="4" w:space="0"/>
              <w:right w:val="single" w:color="auto" w:sz="4" w:space="0"/>
            </w:tcBorders>
            <w:noWrap w:val="0"/>
            <w:vAlign w:val="center"/>
          </w:tcPr>
          <w:p w14:paraId="576E155B">
            <w:pPr>
              <w:jc w:val="center"/>
              <w:rPr>
                <w:b/>
                <w:bCs/>
              </w:rPr>
            </w:pPr>
            <w:r>
              <w:rPr>
                <w:rFonts w:hint="eastAsia"/>
                <w:b/>
                <w:bCs/>
              </w:rPr>
              <w:t>出现次数</w:t>
            </w:r>
          </w:p>
        </w:tc>
        <w:tc>
          <w:tcPr>
            <w:tcW w:w="2131" w:type="dxa"/>
            <w:tcBorders>
              <w:top w:val="single" w:color="auto" w:sz="4" w:space="0"/>
              <w:left w:val="single" w:color="auto" w:sz="4" w:space="0"/>
              <w:bottom w:val="single" w:color="auto" w:sz="4" w:space="0"/>
              <w:right w:val="single" w:color="auto" w:sz="4" w:space="0"/>
            </w:tcBorders>
            <w:noWrap w:val="0"/>
            <w:vAlign w:val="center"/>
          </w:tcPr>
          <w:p w14:paraId="5D6723B5">
            <w:pPr>
              <w:jc w:val="center"/>
              <w:rPr>
                <w:b/>
                <w:bCs/>
              </w:rPr>
            </w:pPr>
            <w:r>
              <w:rPr>
                <w:rFonts w:hint="eastAsia"/>
                <w:b/>
                <w:bCs/>
              </w:rPr>
              <w:t>出现概率</w:t>
            </w:r>
          </w:p>
        </w:tc>
      </w:tr>
      <w:tr w14:paraId="3F179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restart"/>
            <w:tcBorders>
              <w:top w:val="single" w:color="auto" w:sz="4" w:space="0"/>
              <w:left w:val="single" w:color="auto" w:sz="4" w:space="0"/>
              <w:right w:val="single" w:color="auto" w:sz="4" w:space="0"/>
            </w:tcBorders>
            <w:noWrap w:val="0"/>
            <w:vAlign w:val="center"/>
          </w:tcPr>
          <w:p w14:paraId="2C0BC3E8">
            <w:pPr>
              <w:jc w:val="center"/>
              <w:rPr>
                <w:rFonts w:hint="default" w:eastAsia="宋体"/>
                <w:b/>
                <w:bCs/>
                <w:lang w:val="en-US" w:eastAsia="zh-CN"/>
              </w:rPr>
            </w:pPr>
            <w:r>
              <w:rPr>
                <w:rFonts w:hint="eastAsia"/>
                <w:b/>
                <w:bCs/>
                <w:lang w:val="en-US" w:eastAsia="zh-CN"/>
              </w:rPr>
              <w:t>x</w:t>
            </w:r>
            <w:r>
              <w:rPr>
                <w:rFonts w:hint="eastAsia"/>
                <w:b/>
                <w:bCs/>
                <w:lang w:eastAsia="zh-CN"/>
              </w:rPr>
              <w:t>≥</w:t>
            </w:r>
            <w:r>
              <w:rPr>
                <w:rFonts w:hint="eastAsia"/>
                <w:b/>
                <w:bCs/>
                <w:lang w:val="en-US" w:eastAsia="zh-CN"/>
              </w:rPr>
              <w:t>5%</w:t>
            </w:r>
          </w:p>
        </w:tc>
        <w:tc>
          <w:tcPr>
            <w:tcW w:w="2156" w:type="dxa"/>
            <w:tcBorders>
              <w:top w:val="single" w:color="auto" w:sz="4" w:space="0"/>
              <w:left w:val="single" w:color="auto" w:sz="4" w:space="0"/>
              <w:bottom w:val="single" w:color="auto" w:sz="4" w:space="0"/>
              <w:right w:val="single" w:color="auto" w:sz="4" w:space="0"/>
            </w:tcBorders>
            <w:noWrap w:val="0"/>
            <w:vAlign w:val="center"/>
          </w:tcPr>
          <w:p w14:paraId="02009671">
            <w:pPr>
              <w:jc w:val="center"/>
              <w:rPr>
                <w:rFonts w:hint="default" w:eastAsia="宋体"/>
                <w:b/>
                <w:bCs/>
                <w:lang w:val="en-US" w:eastAsia="zh-CN"/>
              </w:rPr>
            </w:pPr>
            <w:r>
              <w:rPr>
                <w:b/>
                <w:bCs/>
              </w:rPr>
              <w:t>δerr≤</w:t>
            </w:r>
            <w:r>
              <w:rPr>
                <w:rFonts w:hint="eastAsia"/>
                <w:b/>
                <w:bCs/>
                <w:lang w:val="en-US" w:eastAsia="zh-CN"/>
              </w:rPr>
              <w:t>0.5</w:t>
            </w:r>
          </w:p>
        </w:tc>
        <w:tc>
          <w:tcPr>
            <w:tcW w:w="2113" w:type="dxa"/>
            <w:tcBorders>
              <w:top w:val="single" w:color="auto" w:sz="4" w:space="0"/>
              <w:left w:val="single" w:color="auto" w:sz="4" w:space="0"/>
              <w:bottom w:val="single" w:color="auto" w:sz="4" w:space="0"/>
              <w:right w:val="single" w:color="auto" w:sz="4" w:space="0"/>
            </w:tcBorders>
            <w:noWrap w:val="0"/>
            <w:vAlign w:val="center"/>
          </w:tcPr>
          <w:p w14:paraId="42E4F1D3">
            <w:pPr>
              <w:jc w:val="center"/>
              <w:rPr>
                <w:rFonts w:hint="default" w:eastAsia="宋体"/>
                <w:b/>
                <w:bCs/>
                <w:lang w:val="en-US" w:eastAsia="zh-CN"/>
              </w:rPr>
            </w:pPr>
            <w:r>
              <w:rPr>
                <w:rFonts w:hint="eastAsia"/>
                <w:b/>
                <w:bCs/>
                <w:lang w:val="en-US" w:eastAsia="zh-CN"/>
              </w:rPr>
              <w:t>38</w:t>
            </w:r>
          </w:p>
        </w:tc>
        <w:tc>
          <w:tcPr>
            <w:tcW w:w="2131" w:type="dxa"/>
            <w:tcBorders>
              <w:top w:val="single" w:color="auto" w:sz="4" w:space="0"/>
              <w:left w:val="single" w:color="auto" w:sz="4" w:space="0"/>
              <w:bottom w:val="single" w:color="auto" w:sz="4" w:space="0"/>
              <w:right w:val="single" w:color="auto" w:sz="4" w:space="0"/>
            </w:tcBorders>
            <w:noWrap w:val="0"/>
            <w:vAlign w:val="center"/>
          </w:tcPr>
          <w:p w14:paraId="5B2227FE">
            <w:pPr>
              <w:jc w:val="center"/>
              <w:rPr>
                <w:rFonts w:hint="default" w:eastAsia="宋体"/>
                <w:b/>
                <w:bCs/>
                <w:lang w:val="en-US" w:eastAsia="zh-CN"/>
              </w:rPr>
            </w:pPr>
            <w:r>
              <w:rPr>
                <w:rFonts w:hint="eastAsia"/>
                <w:b/>
                <w:bCs/>
                <w:lang w:val="en-US" w:eastAsia="zh-CN"/>
              </w:rPr>
              <w:t>65.52%</w:t>
            </w:r>
          </w:p>
        </w:tc>
      </w:tr>
      <w:tr w14:paraId="44A30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continue"/>
            <w:tcBorders>
              <w:left w:val="single" w:color="auto" w:sz="4" w:space="0"/>
              <w:right w:val="single" w:color="auto" w:sz="4" w:space="0"/>
            </w:tcBorders>
            <w:noWrap w:val="0"/>
            <w:vAlign w:val="center"/>
          </w:tcPr>
          <w:p w14:paraId="4E34FF6D">
            <w:pPr>
              <w:jc w:val="center"/>
              <w:rPr>
                <w:b/>
                <w:bCs/>
              </w:rPr>
            </w:pPr>
          </w:p>
        </w:tc>
        <w:tc>
          <w:tcPr>
            <w:tcW w:w="2156" w:type="dxa"/>
            <w:tcBorders>
              <w:top w:val="single" w:color="auto" w:sz="4" w:space="0"/>
              <w:left w:val="single" w:color="auto" w:sz="4" w:space="0"/>
              <w:bottom w:val="single" w:color="auto" w:sz="4" w:space="0"/>
              <w:right w:val="single" w:color="auto" w:sz="4" w:space="0"/>
            </w:tcBorders>
            <w:noWrap w:val="0"/>
            <w:vAlign w:val="center"/>
          </w:tcPr>
          <w:p w14:paraId="4FEA46E0">
            <w:pPr>
              <w:jc w:val="center"/>
              <w:rPr>
                <w:rFonts w:hint="default" w:eastAsia="宋体"/>
                <w:b/>
                <w:bCs/>
                <w:lang w:val="en-US" w:eastAsia="zh-CN"/>
              </w:rPr>
            </w:pPr>
            <w:r>
              <w:rPr>
                <w:rFonts w:hint="eastAsia"/>
                <w:b/>
                <w:bCs/>
                <w:lang w:val="en-US" w:eastAsia="zh-CN"/>
              </w:rPr>
              <w:t>0.5</w:t>
            </w:r>
            <w:r>
              <w:rPr>
                <w:rFonts w:hint="eastAsia"/>
                <w:b/>
                <w:bCs/>
              </w:rPr>
              <w:t>&lt;</w:t>
            </w:r>
            <w:r>
              <w:rPr>
                <w:b/>
                <w:bCs/>
              </w:rPr>
              <w:t>δerr≤</w:t>
            </w:r>
            <w:r>
              <w:rPr>
                <w:rFonts w:hint="eastAsia"/>
                <w:b/>
                <w:bCs/>
                <w:lang w:val="en-US" w:eastAsia="zh-CN"/>
              </w:rPr>
              <w:t>1.0</w:t>
            </w:r>
          </w:p>
        </w:tc>
        <w:tc>
          <w:tcPr>
            <w:tcW w:w="2113" w:type="dxa"/>
            <w:tcBorders>
              <w:top w:val="single" w:color="auto" w:sz="4" w:space="0"/>
              <w:left w:val="single" w:color="auto" w:sz="4" w:space="0"/>
              <w:bottom w:val="single" w:color="auto" w:sz="4" w:space="0"/>
              <w:right w:val="single" w:color="auto" w:sz="4" w:space="0"/>
            </w:tcBorders>
            <w:noWrap w:val="0"/>
            <w:vAlign w:val="center"/>
          </w:tcPr>
          <w:p w14:paraId="6A1A3C8B">
            <w:pPr>
              <w:jc w:val="center"/>
              <w:rPr>
                <w:rFonts w:hint="default" w:eastAsia="宋体"/>
                <w:b/>
                <w:bCs/>
                <w:lang w:val="en-US" w:eastAsia="zh-CN"/>
              </w:rPr>
            </w:pPr>
            <w:r>
              <w:rPr>
                <w:rFonts w:hint="eastAsia"/>
                <w:b/>
                <w:bCs/>
                <w:lang w:val="en-US" w:eastAsia="zh-CN"/>
              </w:rPr>
              <w:t>48</w:t>
            </w:r>
          </w:p>
        </w:tc>
        <w:tc>
          <w:tcPr>
            <w:tcW w:w="2131" w:type="dxa"/>
            <w:tcBorders>
              <w:top w:val="single" w:color="auto" w:sz="4" w:space="0"/>
              <w:left w:val="single" w:color="auto" w:sz="4" w:space="0"/>
              <w:bottom w:val="single" w:color="auto" w:sz="4" w:space="0"/>
              <w:right w:val="single" w:color="auto" w:sz="4" w:space="0"/>
            </w:tcBorders>
            <w:noWrap w:val="0"/>
            <w:vAlign w:val="center"/>
          </w:tcPr>
          <w:p w14:paraId="1FBC57BD">
            <w:pPr>
              <w:jc w:val="center"/>
              <w:rPr>
                <w:rFonts w:hint="default" w:eastAsia="宋体"/>
                <w:b/>
                <w:bCs/>
                <w:lang w:val="en-US" w:eastAsia="zh-CN"/>
              </w:rPr>
            </w:pPr>
            <w:r>
              <w:rPr>
                <w:rFonts w:hint="eastAsia"/>
                <w:b/>
                <w:bCs/>
                <w:lang w:val="en-US" w:eastAsia="zh-CN"/>
              </w:rPr>
              <w:t>82.76%</w:t>
            </w:r>
          </w:p>
        </w:tc>
      </w:tr>
      <w:tr w14:paraId="4F9E5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continue"/>
            <w:tcBorders>
              <w:left w:val="single" w:color="auto" w:sz="4" w:space="0"/>
              <w:right w:val="single" w:color="auto" w:sz="4" w:space="0"/>
            </w:tcBorders>
            <w:noWrap w:val="0"/>
            <w:vAlign w:val="center"/>
          </w:tcPr>
          <w:p w14:paraId="6166DCC8">
            <w:pPr>
              <w:jc w:val="center"/>
              <w:rPr>
                <w:b/>
                <w:bCs/>
              </w:rPr>
            </w:pPr>
          </w:p>
        </w:tc>
        <w:tc>
          <w:tcPr>
            <w:tcW w:w="2156" w:type="dxa"/>
            <w:tcBorders>
              <w:top w:val="single" w:color="auto" w:sz="4" w:space="0"/>
              <w:left w:val="single" w:color="auto" w:sz="4" w:space="0"/>
              <w:bottom w:val="single" w:color="auto" w:sz="4" w:space="0"/>
              <w:right w:val="single" w:color="auto" w:sz="4" w:space="0"/>
            </w:tcBorders>
            <w:noWrap w:val="0"/>
            <w:vAlign w:val="center"/>
          </w:tcPr>
          <w:p w14:paraId="07093910">
            <w:pPr>
              <w:jc w:val="center"/>
              <w:rPr>
                <w:rFonts w:hint="default" w:eastAsia="宋体"/>
                <w:b/>
                <w:bCs/>
                <w:lang w:val="en-US" w:eastAsia="zh-CN"/>
              </w:rPr>
            </w:pPr>
            <w:r>
              <w:rPr>
                <w:rFonts w:hint="eastAsia"/>
                <w:b/>
                <w:bCs/>
                <w:lang w:val="en-US" w:eastAsia="zh-CN"/>
              </w:rPr>
              <w:t>1.0</w:t>
            </w:r>
            <w:r>
              <w:rPr>
                <w:rFonts w:hint="eastAsia"/>
                <w:b/>
                <w:bCs/>
              </w:rPr>
              <w:t>&lt;</w:t>
            </w:r>
            <w:r>
              <w:rPr>
                <w:b/>
                <w:bCs/>
              </w:rPr>
              <w:t>δerr≤</w:t>
            </w:r>
            <w:r>
              <w:rPr>
                <w:rFonts w:hint="eastAsia"/>
                <w:b/>
                <w:bCs/>
                <w:lang w:val="en-US" w:eastAsia="zh-CN"/>
              </w:rPr>
              <w:t>2.0</w:t>
            </w:r>
          </w:p>
        </w:tc>
        <w:tc>
          <w:tcPr>
            <w:tcW w:w="2113" w:type="dxa"/>
            <w:tcBorders>
              <w:top w:val="single" w:color="auto" w:sz="4" w:space="0"/>
              <w:left w:val="single" w:color="auto" w:sz="4" w:space="0"/>
              <w:bottom w:val="single" w:color="auto" w:sz="4" w:space="0"/>
              <w:right w:val="single" w:color="auto" w:sz="4" w:space="0"/>
            </w:tcBorders>
            <w:noWrap w:val="0"/>
            <w:vAlign w:val="center"/>
          </w:tcPr>
          <w:p w14:paraId="26C5C87B">
            <w:pPr>
              <w:jc w:val="center"/>
              <w:rPr>
                <w:rFonts w:hint="default" w:eastAsia="宋体"/>
                <w:b/>
                <w:bCs/>
                <w:lang w:val="en-US" w:eastAsia="zh-CN"/>
              </w:rPr>
            </w:pPr>
            <w:r>
              <w:rPr>
                <w:rFonts w:hint="eastAsia"/>
                <w:b/>
                <w:bCs/>
                <w:lang w:val="en-US" w:eastAsia="zh-CN"/>
              </w:rPr>
              <w:t>56</w:t>
            </w:r>
          </w:p>
        </w:tc>
        <w:tc>
          <w:tcPr>
            <w:tcW w:w="2131" w:type="dxa"/>
            <w:tcBorders>
              <w:top w:val="single" w:color="auto" w:sz="4" w:space="0"/>
              <w:left w:val="single" w:color="auto" w:sz="4" w:space="0"/>
              <w:bottom w:val="single" w:color="auto" w:sz="4" w:space="0"/>
              <w:right w:val="single" w:color="auto" w:sz="4" w:space="0"/>
            </w:tcBorders>
            <w:noWrap w:val="0"/>
            <w:vAlign w:val="center"/>
          </w:tcPr>
          <w:p w14:paraId="52A6F59E">
            <w:pPr>
              <w:jc w:val="center"/>
              <w:rPr>
                <w:rFonts w:hint="default" w:eastAsia="宋体"/>
                <w:b/>
                <w:bCs/>
                <w:lang w:val="en-US" w:eastAsia="zh-CN"/>
              </w:rPr>
            </w:pPr>
            <w:r>
              <w:rPr>
                <w:rFonts w:hint="eastAsia"/>
                <w:b/>
                <w:bCs/>
                <w:lang w:val="en-US" w:eastAsia="zh-CN"/>
              </w:rPr>
              <w:t>96.55%</w:t>
            </w:r>
          </w:p>
        </w:tc>
      </w:tr>
      <w:tr w14:paraId="1741C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continue"/>
            <w:tcBorders>
              <w:left w:val="single" w:color="auto" w:sz="4" w:space="0"/>
              <w:right w:val="single" w:color="auto" w:sz="4" w:space="0"/>
            </w:tcBorders>
            <w:noWrap w:val="0"/>
            <w:vAlign w:val="center"/>
          </w:tcPr>
          <w:p w14:paraId="77E53012">
            <w:pPr>
              <w:jc w:val="center"/>
              <w:rPr>
                <w:b/>
                <w:bCs/>
              </w:rPr>
            </w:pPr>
          </w:p>
        </w:tc>
        <w:tc>
          <w:tcPr>
            <w:tcW w:w="2156" w:type="dxa"/>
            <w:tcBorders>
              <w:top w:val="single" w:color="auto" w:sz="4" w:space="0"/>
              <w:left w:val="single" w:color="auto" w:sz="4" w:space="0"/>
              <w:bottom w:val="single" w:color="auto" w:sz="4" w:space="0"/>
              <w:right w:val="single" w:color="auto" w:sz="4" w:space="0"/>
            </w:tcBorders>
            <w:noWrap w:val="0"/>
            <w:vAlign w:val="center"/>
          </w:tcPr>
          <w:p w14:paraId="26EFC382">
            <w:pPr>
              <w:jc w:val="center"/>
              <w:rPr>
                <w:b/>
                <w:bCs/>
              </w:rPr>
            </w:pPr>
            <w:r>
              <w:rPr>
                <w:b/>
                <w:bCs/>
              </w:rPr>
              <w:t>δerr &gt;</w:t>
            </w:r>
            <w:r>
              <w:rPr>
                <w:rFonts w:hint="eastAsia"/>
                <w:b/>
                <w:bCs/>
                <w:lang w:val="en-US" w:eastAsia="zh-CN"/>
              </w:rPr>
              <w:t>2</w:t>
            </w:r>
            <w:r>
              <w:rPr>
                <w:b/>
                <w:bCs/>
              </w:rPr>
              <w:t>.0</w:t>
            </w:r>
          </w:p>
        </w:tc>
        <w:tc>
          <w:tcPr>
            <w:tcW w:w="2113" w:type="dxa"/>
            <w:tcBorders>
              <w:top w:val="single" w:color="auto" w:sz="4" w:space="0"/>
              <w:left w:val="single" w:color="auto" w:sz="4" w:space="0"/>
              <w:bottom w:val="single" w:color="auto" w:sz="4" w:space="0"/>
              <w:right w:val="single" w:color="auto" w:sz="4" w:space="0"/>
            </w:tcBorders>
            <w:noWrap w:val="0"/>
            <w:vAlign w:val="center"/>
          </w:tcPr>
          <w:p w14:paraId="0458522D">
            <w:pPr>
              <w:jc w:val="center"/>
              <w:rPr>
                <w:rFonts w:hint="default" w:eastAsia="宋体"/>
                <w:b/>
                <w:bCs/>
                <w:lang w:val="en-US" w:eastAsia="zh-CN"/>
              </w:rPr>
            </w:pPr>
            <w:r>
              <w:rPr>
                <w:rFonts w:hint="eastAsia"/>
                <w:b/>
                <w:bCs/>
                <w:lang w:val="en-US" w:eastAsia="zh-CN"/>
              </w:rPr>
              <w:t>58</w:t>
            </w:r>
          </w:p>
        </w:tc>
        <w:tc>
          <w:tcPr>
            <w:tcW w:w="2131" w:type="dxa"/>
            <w:tcBorders>
              <w:top w:val="single" w:color="auto" w:sz="4" w:space="0"/>
              <w:left w:val="single" w:color="auto" w:sz="4" w:space="0"/>
              <w:bottom w:val="single" w:color="auto" w:sz="4" w:space="0"/>
              <w:right w:val="single" w:color="auto" w:sz="4" w:space="0"/>
            </w:tcBorders>
            <w:noWrap w:val="0"/>
            <w:vAlign w:val="center"/>
          </w:tcPr>
          <w:p w14:paraId="180583C2">
            <w:pPr>
              <w:jc w:val="center"/>
              <w:rPr>
                <w:b/>
                <w:bCs/>
              </w:rPr>
            </w:pPr>
            <w:r>
              <w:rPr>
                <w:rFonts w:hint="eastAsia"/>
                <w:b/>
                <w:bCs/>
              </w:rPr>
              <w:t>100%</w:t>
            </w:r>
          </w:p>
        </w:tc>
      </w:tr>
      <w:tr w14:paraId="31B99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restart"/>
            <w:tcBorders>
              <w:left w:val="single" w:color="auto" w:sz="4" w:space="0"/>
              <w:right w:val="single" w:color="auto" w:sz="4" w:space="0"/>
            </w:tcBorders>
            <w:noWrap w:val="0"/>
            <w:vAlign w:val="center"/>
          </w:tcPr>
          <w:p w14:paraId="61C6B334">
            <w:pPr>
              <w:jc w:val="center"/>
              <w:rPr>
                <w:rFonts w:hint="default" w:eastAsia="宋体"/>
                <w:b/>
                <w:bCs/>
                <w:lang w:val="en-US" w:eastAsia="zh-CN"/>
              </w:rPr>
            </w:pPr>
            <w:r>
              <w:rPr>
                <w:rFonts w:hint="eastAsia"/>
                <w:b/>
                <w:bCs/>
                <w:lang w:val="en-US" w:eastAsia="zh-CN"/>
              </w:rPr>
              <w:t>0.2%</w:t>
            </w:r>
            <w:r>
              <w:rPr>
                <w:rFonts w:hint="eastAsia"/>
                <w:b/>
                <w:bCs/>
                <w:lang w:eastAsia="zh-CN"/>
              </w:rPr>
              <w:t>＜</w:t>
            </w:r>
            <w:r>
              <w:rPr>
                <w:rFonts w:hint="eastAsia"/>
                <w:b/>
                <w:bCs/>
                <w:lang w:val="en-US" w:eastAsia="zh-CN"/>
              </w:rPr>
              <w:t>x</w:t>
            </w:r>
            <w:r>
              <w:rPr>
                <w:rFonts w:hint="eastAsia"/>
                <w:b/>
                <w:bCs/>
                <w:lang w:eastAsia="zh-CN"/>
              </w:rPr>
              <w:t>＜</w:t>
            </w:r>
            <w:r>
              <w:rPr>
                <w:rFonts w:hint="eastAsia"/>
                <w:b/>
                <w:bCs/>
                <w:lang w:val="en-US" w:eastAsia="zh-CN"/>
              </w:rPr>
              <w:t>5%</w:t>
            </w:r>
          </w:p>
        </w:tc>
        <w:tc>
          <w:tcPr>
            <w:tcW w:w="2156" w:type="dxa"/>
            <w:tcBorders>
              <w:top w:val="single" w:color="auto" w:sz="4" w:space="0"/>
              <w:left w:val="single" w:color="auto" w:sz="4" w:space="0"/>
              <w:bottom w:val="single" w:color="auto" w:sz="4" w:space="0"/>
              <w:right w:val="single" w:color="auto" w:sz="4" w:space="0"/>
            </w:tcBorders>
            <w:noWrap w:val="0"/>
            <w:vAlign w:val="center"/>
          </w:tcPr>
          <w:p w14:paraId="73DEB356">
            <w:pPr>
              <w:jc w:val="center"/>
              <w:rPr>
                <w:rFonts w:hint="default" w:eastAsia="宋体"/>
                <w:b/>
                <w:bCs/>
                <w:kern w:val="2"/>
                <w:sz w:val="21"/>
                <w:szCs w:val="24"/>
                <w:lang w:val="en-US" w:eastAsia="zh-CN" w:bidi="ar-SA"/>
              </w:rPr>
            </w:pPr>
            <w:r>
              <w:rPr>
                <w:b/>
                <w:bCs/>
              </w:rPr>
              <w:t>δerr≤</w:t>
            </w:r>
            <w:r>
              <w:rPr>
                <w:rFonts w:hint="eastAsia"/>
                <w:b/>
                <w:bCs/>
                <w:lang w:val="en-US" w:eastAsia="zh-CN"/>
              </w:rPr>
              <w:t>0.05</w:t>
            </w:r>
          </w:p>
        </w:tc>
        <w:tc>
          <w:tcPr>
            <w:tcW w:w="2113" w:type="dxa"/>
            <w:tcBorders>
              <w:top w:val="single" w:color="auto" w:sz="4" w:space="0"/>
              <w:left w:val="single" w:color="auto" w:sz="4" w:space="0"/>
              <w:bottom w:val="single" w:color="auto" w:sz="4" w:space="0"/>
              <w:right w:val="single" w:color="auto" w:sz="4" w:space="0"/>
            </w:tcBorders>
            <w:noWrap w:val="0"/>
            <w:vAlign w:val="center"/>
          </w:tcPr>
          <w:p w14:paraId="069F5CA8">
            <w:pPr>
              <w:jc w:val="center"/>
              <w:rPr>
                <w:rFonts w:hint="default" w:eastAsia="宋体"/>
                <w:b/>
                <w:bCs/>
                <w:lang w:val="en-US" w:eastAsia="zh-CN"/>
              </w:rPr>
            </w:pPr>
            <w:r>
              <w:rPr>
                <w:rFonts w:hint="eastAsia"/>
                <w:b/>
                <w:bCs/>
                <w:lang w:val="en-US" w:eastAsia="zh-CN"/>
              </w:rPr>
              <w:t>25</w:t>
            </w:r>
          </w:p>
        </w:tc>
        <w:tc>
          <w:tcPr>
            <w:tcW w:w="2131" w:type="dxa"/>
            <w:tcBorders>
              <w:top w:val="single" w:color="auto" w:sz="4" w:space="0"/>
              <w:left w:val="single" w:color="auto" w:sz="4" w:space="0"/>
              <w:bottom w:val="single" w:color="auto" w:sz="4" w:space="0"/>
              <w:right w:val="single" w:color="auto" w:sz="4" w:space="0"/>
            </w:tcBorders>
            <w:noWrap w:val="0"/>
            <w:vAlign w:val="center"/>
          </w:tcPr>
          <w:p w14:paraId="5462A3D0">
            <w:pPr>
              <w:jc w:val="center"/>
              <w:rPr>
                <w:rFonts w:hint="default" w:eastAsia="宋体"/>
                <w:b/>
                <w:bCs/>
                <w:lang w:val="en-US" w:eastAsia="zh-CN"/>
              </w:rPr>
            </w:pPr>
            <w:r>
              <w:rPr>
                <w:rFonts w:hint="eastAsia"/>
                <w:b/>
                <w:bCs/>
                <w:lang w:val="en-US" w:eastAsia="zh-CN"/>
              </w:rPr>
              <w:t>54.35%</w:t>
            </w:r>
          </w:p>
        </w:tc>
      </w:tr>
      <w:tr w14:paraId="0A916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continue"/>
            <w:tcBorders>
              <w:left w:val="single" w:color="auto" w:sz="4" w:space="0"/>
              <w:right w:val="single" w:color="auto" w:sz="4" w:space="0"/>
            </w:tcBorders>
            <w:noWrap w:val="0"/>
            <w:vAlign w:val="center"/>
          </w:tcPr>
          <w:p w14:paraId="2BBEA608">
            <w:pPr>
              <w:jc w:val="center"/>
              <w:rPr>
                <w:rFonts w:hint="eastAsia"/>
                <w:b/>
                <w:bCs/>
                <w:lang w:val="en-US" w:eastAsia="zh-CN"/>
              </w:rPr>
            </w:pPr>
          </w:p>
        </w:tc>
        <w:tc>
          <w:tcPr>
            <w:tcW w:w="2156" w:type="dxa"/>
            <w:tcBorders>
              <w:top w:val="single" w:color="auto" w:sz="4" w:space="0"/>
              <w:left w:val="single" w:color="auto" w:sz="4" w:space="0"/>
              <w:bottom w:val="single" w:color="auto" w:sz="4" w:space="0"/>
              <w:right w:val="single" w:color="auto" w:sz="4" w:space="0"/>
            </w:tcBorders>
            <w:noWrap w:val="0"/>
            <w:vAlign w:val="center"/>
          </w:tcPr>
          <w:p w14:paraId="3DCB610D">
            <w:pPr>
              <w:jc w:val="center"/>
              <w:rPr>
                <w:rFonts w:hint="default" w:eastAsia="宋体"/>
                <w:b/>
                <w:bCs/>
                <w:kern w:val="2"/>
                <w:sz w:val="21"/>
                <w:szCs w:val="24"/>
                <w:lang w:val="en-US" w:eastAsia="zh-CN" w:bidi="ar-SA"/>
              </w:rPr>
            </w:pPr>
            <w:r>
              <w:rPr>
                <w:rFonts w:hint="eastAsia"/>
                <w:b/>
                <w:bCs/>
                <w:lang w:val="en-US" w:eastAsia="zh-CN"/>
              </w:rPr>
              <w:t>0.05</w:t>
            </w:r>
            <w:r>
              <w:rPr>
                <w:rFonts w:hint="eastAsia"/>
                <w:b/>
                <w:bCs/>
              </w:rPr>
              <w:t>&lt;</w:t>
            </w:r>
            <w:r>
              <w:rPr>
                <w:b/>
                <w:bCs/>
              </w:rPr>
              <w:t>δerr≤</w:t>
            </w:r>
            <w:r>
              <w:rPr>
                <w:rFonts w:hint="eastAsia"/>
                <w:b/>
                <w:bCs/>
                <w:lang w:val="en-US" w:eastAsia="zh-CN"/>
              </w:rPr>
              <w:t>0.10</w:t>
            </w:r>
          </w:p>
        </w:tc>
        <w:tc>
          <w:tcPr>
            <w:tcW w:w="2113" w:type="dxa"/>
            <w:tcBorders>
              <w:top w:val="single" w:color="auto" w:sz="4" w:space="0"/>
              <w:left w:val="single" w:color="auto" w:sz="4" w:space="0"/>
              <w:bottom w:val="single" w:color="auto" w:sz="4" w:space="0"/>
              <w:right w:val="single" w:color="auto" w:sz="4" w:space="0"/>
            </w:tcBorders>
            <w:noWrap w:val="0"/>
            <w:vAlign w:val="center"/>
          </w:tcPr>
          <w:p w14:paraId="72A705D5">
            <w:pPr>
              <w:jc w:val="center"/>
              <w:rPr>
                <w:rFonts w:hint="default" w:eastAsia="宋体"/>
                <w:b/>
                <w:bCs/>
                <w:lang w:val="en-US" w:eastAsia="zh-CN"/>
              </w:rPr>
            </w:pPr>
            <w:r>
              <w:rPr>
                <w:rFonts w:hint="eastAsia"/>
                <w:b/>
                <w:bCs/>
                <w:lang w:val="en-US" w:eastAsia="zh-CN"/>
              </w:rPr>
              <w:t>32</w:t>
            </w:r>
          </w:p>
        </w:tc>
        <w:tc>
          <w:tcPr>
            <w:tcW w:w="2131" w:type="dxa"/>
            <w:tcBorders>
              <w:top w:val="single" w:color="auto" w:sz="4" w:space="0"/>
              <w:left w:val="single" w:color="auto" w:sz="4" w:space="0"/>
              <w:bottom w:val="single" w:color="auto" w:sz="4" w:space="0"/>
              <w:right w:val="single" w:color="auto" w:sz="4" w:space="0"/>
            </w:tcBorders>
            <w:noWrap w:val="0"/>
            <w:vAlign w:val="center"/>
          </w:tcPr>
          <w:p w14:paraId="558AD0C1">
            <w:pPr>
              <w:jc w:val="center"/>
              <w:rPr>
                <w:rFonts w:hint="default" w:eastAsia="宋体"/>
                <w:b/>
                <w:bCs/>
                <w:lang w:val="en-US" w:eastAsia="zh-CN"/>
              </w:rPr>
            </w:pPr>
            <w:r>
              <w:rPr>
                <w:rFonts w:hint="eastAsia"/>
                <w:b/>
                <w:bCs/>
                <w:lang w:val="en-US" w:eastAsia="zh-CN"/>
              </w:rPr>
              <w:t>69.57%</w:t>
            </w:r>
          </w:p>
        </w:tc>
      </w:tr>
      <w:tr w14:paraId="1AAA7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continue"/>
            <w:tcBorders>
              <w:left w:val="single" w:color="auto" w:sz="4" w:space="0"/>
              <w:right w:val="single" w:color="auto" w:sz="4" w:space="0"/>
            </w:tcBorders>
            <w:noWrap w:val="0"/>
            <w:vAlign w:val="center"/>
          </w:tcPr>
          <w:p w14:paraId="393F7252">
            <w:pPr>
              <w:jc w:val="center"/>
              <w:rPr>
                <w:rFonts w:hint="default" w:eastAsia="宋体"/>
                <w:b/>
                <w:bCs/>
                <w:lang w:val="en-US" w:eastAsia="zh-CN"/>
              </w:rPr>
            </w:pPr>
          </w:p>
        </w:tc>
        <w:tc>
          <w:tcPr>
            <w:tcW w:w="2156" w:type="dxa"/>
            <w:tcBorders>
              <w:top w:val="single" w:color="auto" w:sz="4" w:space="0"/>
              <w:left w:val="single" w:color="auto" w:sz="4" w:space="0"/>
              <w:bottom w:val="single" w:color="auto" w:sz="4" w:space="0"/>
              <w:right w:val="single" w:color="auto" w:sz="4" w:space="0"/>
            </w:tcBorders>
            <w:noWrap w:val="0"/>
            <w:vAlign w:val="center"/>
          </w:tcPr>
          <w:p w14:paraId="4871BA2A">
            <w:pPr>
              <w:jc w:val="center"/>
              <w:rPr>
                <w:rFonts w:hint="default" w:eastAsia="宋体"/>
                <w:b/>
                <w:bCs/>
                <w:kern w:val="2"/>
                <w:sz w:val="21"/>
                <w:szCs w:val="24"/>
                <w:lang w:val="en-US" w:eastAsia="zh-CN" w:bidi="ar-SA"/>
              </w:rPr>
            </w:pPr>
            <w:r>
              <w:rPr>
                <w:rFonts w:hint="eastAsia"/>
                <w:b/>
                <w:bCs/>
                <w:lang w:val="en-US" w:eastAsia="zh-CN"/>
              </w:rPr>
              <w:t>0.10</w:t>
            </w:r>
            <w:r>
              <w:rPr>
                <w:rFonts w:hint="eastAsia"/>
                <w:b/>
                <w:bCs/>
              </w:rPr>
              <w:t>&lt;</w:t>
            </w:r>
            <w:r>
              <w:rPr>
                <w:b/>
                <w:bCs/>
              </w:rPr>
              <w:t>δerr≤</w:t>
            </w:r>
            <w:r>
              <w:rPr>
                <w:rFonts w:hint="eastAsia"/>
                <w:b/>
                <w:bCs/>
                <w:lang w:val="en-US" w:eastAsia="zh-CN"/>
              </w:rPr>
              <w:t>0.15</w:t>
            </w:r>
          </w:p>
        </w:tc>
        <w:tc>
          <w:tcPr>
            <w:tcW w:w="2113" w:type="dxa"/>
            <w:tcBorders>
              <w:top w:val="single" w:color="auto" w:sz="4" w:space="0"/>
              <w:left w:val="single" w:color="auto" w:sz="4" w:space="0"/>
              <w:bottom w:val="single" w:color="auto" w:sz="4" w:space="0"/>
              <w:right w:val="single" w:color="auto" w:sz="4" w:space="0"/>
            </w:tcBorders>
            <w:noWrap w:val="0"/>
            <w:vAlign w:val="center"/>
          </w:tcPr>
          <w:p w14:paraId="1C369C1E">
            <w:pPr>
              <w:jc w:val="center"/>
              <w:rPr>
                <w:rFonts w:hint="default" w:eastAsia="宋体"/>
                <w:b/>
                <w:bCs/>
                <w:lang w:val="en-US" w:eastAsia="zh-CN"/>
              </w:rPr>
            </w:pPr>
            <w:r>
              <w:rPr>
                <w:rFonts w:hint="eastAsia"/>
                <w:b/>
                <w:bCs/>
                <w:lang w:val="en-US" w:eastAsia="zh-CN"/>
              </w:rPr>
              <w:t>38</w:t>
            </w:r>
          </w:p>
        </w:tc>
        <w:tc>
          <w:tcPr>
            <w:tcW w:w="2131" w:type="dxa"/>
            <w:tcBorders>
              <w:top w:val="single" w:color="auto" w:sz="4" w:space="0"/>
              <w:left w:val="single" w:color="auto" w:sz="4" w:space="0"/>
              <w:bottom w:val="single" w:color="auto" w:sz="4" w:space="0"/>
              <w:right w:val="single" w:color="auto" w:sz="4" w:space="0"/>
            </w:tcBorders>
            <w:noWrap w:val="0"/>
            <w:vAlign w:val="center"/>
          </w:tcPr>
          <w:p w14:paraId="28D6043C">
            <w:pPr>
              <w:jc w:val="center"/>
              <w:rPr>
                <w:rFonts w:hint="default" w:eastAsia="宋体"/>
                <w:b/>
                <w:bCs/>
                <w:lang w:val="en-US" w:eastAsia="zh-CN"/>
              </w:rPr>
            </w:pPr>
            <w:r>
              <w:rPr>
                <w:rFonts w:hint="eastAsia"/>
                <w:b/>
                <w:bCs/>
                <w:lang w:val="en-US" w:eastAsia="zh-CN"/>
              </w:rPr>
              <w:t>82.61%</w:t>
            </w:r>
          </w:p>
        </w:tc>
      </w:tr>
      <w:tr w14:paraId="19184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continue"/>
            <w:tcBorders>
              <w:left w:val="single" w:color="auto" w:sz="4" w:space="0"/>
              <w:right w:val="single" w:color="auto" w:sz="4" w:space="0"/>
            </w:tcBorders>
            <w:noWrap w:val="0"/>
            <w:vAlign w:val="center"/>
          </w:tcPr>
          <w:p w14:paraId="335C4160">
            <w:pPr>
              <w:jc w:val="center"/>
              <w:rPr>
                <w:b/>
                <w:bCs/>
              </w:rPr>
            </w:pPr>
          </w:p>
        </w:tc>
        <w:tc>
          <w:tcPr>
            <w:tcW w:w="2156" w:type="dxa"/>
            <w:tcBorders>
              <w:top w:val="single" w:color="auto" w:sz="4" w:space="0"/>
              <w:left w:val="single" w:color="auto" w:sz="4" w:space="0"/>
              <w:bottom w:val="single" w:color="auto" w:sz="4" w:space="0"/>
              <w:right w:val="single" w:color="auto" w:sz="4" w:space="0"/>
            </w:tcBorders>
            <w:noWrap w:val="0"/>
            <w:vAlign w:val="center"/>
          </w:tcPr>
          <w:p w14:paraId="03E377FD">
            <w:pPr>
              <w:jc w:val="center"/>
              <w:rPr>
                <w:rFonts w:hint="default"/>
                <w:b/>
                <w:bCs/>
                <w:kern w:val="2"/>
                <w:sz w:val="21"/>
                <w:szCs w:val="24"/>
                <w:lang w:val="en-US" w:eastAsia="zh-CN" w:bidi="ar-SA"/>
              </w:rPr>
            </w:pPr>
            <w:r>
              <w:rPr>
                <w:rFonts w:hint="eastAsia"/>
                <w:b/>
                <w:bCs/>
                <w:lang w:val="en-US" w:eastAsia="zh-CN"/>
              </w:rPr>
              <w:t>0.15</w:t>
            </w:r>
            <w:r>
              <w:rPr>
                <w:rFonts w:hint="eastAsia"/>
                <w:b/>
                <w:bCs/>
              </w:rPr>
              <w:t>&lt;</w:t>
            </w:r>
            <w:r>
              <w:rPr>
                <w:b/>
                <w:bCs/>
              </w:rPr>
              <w:t>δerr≤</w:t>
            </w:r>
            <w:r>
              <w:rPr>
                <w:rFonts w:hint="eastAsia"/>
                <w:b/>
                <w:bCs/>
                <w:lang w:val="en-US" w:eastAsia="zh-CN"/>
              </w:rPr>
              <w:t>0.20</w:t>
            </w:r>
          </w:p>
        </w:tc>
        <w:tc>
          <w:tcPr>
            <w:tcW w:w="2113" w:type="dxa"/>
            <w:tcBorders>
              <w:top w:val="single" w:color="auto" w:sz="4" w:space="0"/>
              <w:left w:val="single" w:color="auto" w:sz="4" w:space="0"/>
              <w:bottom w:val="single" w:color="auto" w:sz="4" w:space="0"/>
              <w:right w:val="single" w:color="auto" w:sz="4" w:space="0"/>
            </w:tcBorders>
            <w:noWrap w:val="0"/>
            <w:vAlign w:val="center"/>
          </w:tcPr>
          <w:p w14:paraId="4576F921">
            <w:pPr>
              <w:jc w:val="center"/>
              <w:rPr>
                <w:rFonts w:hint="default" w:eastAsia="宋体"/>
                <w:b/>
                <w:bCs/>
                <w:lang w:val="en-US" w:eastAsia="zh-CN"/>
              </w:rPr>
            </w:pPr>
            <w:r>
              <w:rPr>
                <w:rFonts w:hint="eastAsia"/>
                <w:b/>
                <w:bCs/>
                <w:lang w:val="en-US" w:eastAsia="zh-CN"/>
              </w:rPr>
              <w:t>42</w:t>
            </w:r>
          </w:p>
        </w:tc>
        <w:tc>
          <w:tcPr>
            <w:tcW w:w="2131" w:type="dxa"/>
            <w:tcBorders>
              <w:top w:val="single" w:color="auto" w:sz="4" w:space="0"/>
              <w:left w:val="single" w:color="auto" w:sz="4" w:space="0"/>
              <w:bottom w:val="single" w:color="auto" w:sz="4" w:space="0"/>
              <w:right w:val="single" w:color="auto" w:sz="4" w:space="0"/>
            </w:tcBorders>
            <w:noWrap w:val="0"/>
            <w:vAlign w:val="center"/>
          </w:tcPr>
          <w:p w14:paraId="22464F76">
            <w:pPr>
              <w:jc w:val="center"/>
              <w:rPr>
                <w:rFonts w:hint="default" w:eastAsia="宋体"/>
                <w:b/>
                <w:bCs/>
                <w:lang w:val="en-US" w:eastAsia="zh-CN"/>
              </w:rPr>
            </w:pPr>
            <w:r>
              <w:rPr>
                <w:rFonts w:hint="eastAsia"/>
                <w:b/>
                <w:bCs/>
                <w:lang w:val="en-US" w:eastAsia="zh-CN"/>
              </w:rPr>
              <w:t>91.30%</w:t>
            </w:r>
          </w:p>
        </w:tc>
      </w:tr>
      <w:tr w14:paraId="4B55B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continue"/>
            <w:tcBorders>
              <w:left w:val="single" w:color="auto" w:sz="4" w:space="0"/>
              <w:right w:val="single" w:color="auto" w:sz="4" w:space="0"/>
            </w:tcBorders>
            <w:noWrap w:val="0"/>
            <w:vAlign w:val="center"/>
          </w:tcPr>
          <w:p w14:paraId="591C97A1">
            <w:pPr>
              <w:jc w:val="center"/>
              <w:rPr>
                <w:b/>
                <w:bCs/>
              </w:rPr>
            </w:pPr>
          </w:p>
        </w:tc>
        <w:tc>
          <w:tcPr>
            <w:tcW w:w="2156" w:type="dxa"/>
            <w:tcBorders>
              <w:top w:val="single" w:color="auto" w:sz="4" w:space="0"/>
              <w:left w:val="single" w:color="auto" w:sz="4" w:space="0"/>
              <w:bottom w:val="single" w:color="auto" w:sz="4" w:space="0"/>
              <w:right w:val="single" w:color="auto" w:sz="4" w:space="0"/>
            </w:tcBorders>
            <w:noWrap w:val="0"/>
            <w:vAlign w:val="center"/>
          </w:tcPr>
          <w:p w14:paraId="2885CF80">
            <w:pPr>
              <w:jc w:val="center"/>
              <w:rPr>
                <w:b/>
                <w:bCs/>
              </w:rPr>
            </w:pPr>
            <w:r>
              <w:rPr>
                <w:rFonts w:hint="eastAsia"/>
                <w:b/>
                <w:bCs/>
                <w:lang w:val="en-US" w:eastAsia="zh-CN"/>
              </w:rPr>
              <w:t>0.20</w:t>
            </w:r>
            <w:r>
              <w:rPr>
                <w:rFonts w:hint="eastAsia"/>
                <w:b/>
                <w:bCs/>
              </w:rPr>
              <w:t>&lt;</w:t>
            </w:r>
            <w:r>
              <w:rPr>
                <w:b/>
                <w:bCs/>
              </w:rPr>
              <w:t>δerr≤</w:t>
            </w:r>
            <w:r>
              <w:rPr>
                <w:rFonts w:hint="eastAsia"/>
                <w:b/>
                <w:bCs/>
                <w:lang w:val="en-US" w:eastAsia="zh-CN"/>
              </w:rPr>
              <w:t>0.25</w:t>
            </w:r>
          </w:p>
        </w:tc>
        <w:tc>
          <w:tcPr>
            <w:tcW w:w="2113" w:type="dxa"/>
            <w:tcBorders>
              <w:top w:val="single" w:color="auto" w:sz="4" w:space="0"/>
              <w:left w:val="single" w:color="auto" w:sz="4" w:space="0"/>
              <w:bottom w:val="single" w:color="auto" w:sz="4" w:space="0"/>
              <w:right w:val="single" w:color="auto" w:sz="4" w:space="0"/>
            </w:tcBorders>
            <w:noWrap w:val="0"/>
            <w:vAlign w:val="center"/>
          </w:tcPr>
          <w:p w14:paraId="79A06538">
            <w:pPr>
              <w:jc w:val="center"/>
              <w:rPr>
                <w:rFonts w:hint="default"/>
                <w:b/>
                <w:bCs/>
                <w:lang w:val="en-US" w:eastAsia="zh-CN"/>
              </w:rPr>
            </w:pPr>
            <w:r>
              <w:rPr>
                <w:rFonts w:hint="eastAsia"/>
                <w:b/>
                <w:bCs/>
                <w:lang w:val="en-US" w:eastAsia="zh-CN"/>
              </w:rPr>
              <w:t>44</w:t>
            </w:r>
          </w:p>
        </w:tc>
        <w:tc>
          <w:tcPr>
            <w:tcW w:w="2131" w:type="dxa"/>
            <w:tcBorders>
              <w:top w:val="single" w:color="auto" w:sz="4" w:space="0"/>
              <w:left w:val="single" w:color="auto" w:sz="4" w:space="0"/>
              <w:bottom w:val="single" w:color="auto" w:sz="4" w:space="0"/>
              <w:right w:val="single" w:color="auto" w:sz="4" w:space="0"/>
            </w:tcBorders>
            <w:noWrap w:val="0"/>
            <w:vAlign w:val="center"/>
          </w:tcPr>
          <w:p w14:paraId="384F4435">
            <w:pPr>
              <w:jc w:val="center"/>
              <w:rPr>
                <w:rFonts w:hint="default" w:eastAsia="宋体"/>
                <w:b/>
                <w:bCs/>
                <w:lang w:val="en-US" w:eastAsia="zh-CN"/>
              </w:rPr>
            </w:pPr>
            <w:r>
              <w:rPr>
                <w:rFonts w:hint="eastAsia"/>
                <w:b/>
                <w:bCs/>
                <w:lang w:val="en-US" w:eastAsia="zh-CN"/>
              </w:rPr>
              <w:t>95.65%</w:t>
            </w:r>
          </w:p>
        </w:tc>
      </w:tr>
      <w:tr w14:paraId="7E483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continue"/>
            <w:tcBorders>
              <w:left w:val="single" w:color="auto" w:sz="4" w:space="0"/>
              <w:right w:val="single" w:color="auto" w:sz="4" w:space="0"/>
            </w:tcBorders>
            <w:noWrap w:val="0"/>
            <w:vAlign w:val="center"/>
          </w:tcPr>
          <w:p w14:paraId="7458B9F2">
            <w:pPr>
              <w:jc w:val="center"/>
              <w:rPr>
                <w:b/>
                <w:bCs/>
              </w:rPr>
            </w:pPr>
          </w:p>
        </w:tc>
        <w:tc>
          <w:tcPr>
            <w:tcW w:w="2156" w:type="dxa"/>
            <w:tcBorders>
              <w:top w:val="single" w:color="auto" w:sz="4" w:space="0"/>
              <w:left w:val="single" w:color="auto" w:sz="4" w:space="0"/>
              <w:bottom w:val="single" w:color="auto" w:sz="4" w:space="0"/>
              <w:right w:val="single" w:color="auto" w:sz="4" w:space="0"/>
            </w:tcBorders>
            <w:noWrap w:val="0"/>
            <w:vAlign w:val="center"/>
          </w:tcPr>
          <w:p w14:paraId="4027DED2">
            <w:pPr>
              <w:jc w:val="center"/>
              <w:rPr>
                <w:rFonts w:hint="default"/>
                <w:b/>
                <w:bCs/>
                <w:lang w:val="en-US"/>
              </w:rPr>
            </w:pPr>
            <w:r>
              <w:rPr>
                <w:b/>
                <w:bCs/>
              </w:rPr>
              <w:t>δerr &gt;</w:t>
            </w:r>
            <w:r>
              <w:rPr>
                <w:rFonts w:hint="eastAsia"/>
                <w:b/>
                <w:bCs/>
                <w:lang w:val="en-US" w:eastAsia="zh-CN"/>
              </w:rPr>
              <w:t>0.20</w:t>
            </w:r>
          </w:p>
        </w:tc>
        <w:tc>
          <w:tcPr>
            <w:tcW w:w="2113" w:type="dxa"/>
            <w:tcBorders>
              <w:top w:val="single" w:color="auto" w:sz="4" w:space="0"/>
              <w:left w:val="single" w:color="auto" w:sz="4" w:space="0"/>
              <w:bottom w:val="single" w:color="auto" w:sz="4" w:space="0"/>
              <w:right w:val="single" w:color="auto" w:sz="4" w:space="0"/>
            </w:tcBorders>
            <w:noWrap w:val="0"/>
            <w:vAlign w:val="center"/>
          </w:tcPr>
          <w:p w14:paraId="0F5BCB0E">
            <w:pPr>
              <w:jc w:val="center"/>
              <w:rPr>
                <w:rFonts w:hint="default"/>
                <w:b/>
                <w:bCs/>
                <w:lang w:val="en-US" w:eastAsia="zh-CN"/>
              </w:rPr>
            </w:pPr>
            <w:r>
              <w:rPr>
                <w:rFonts w:hint="eastAsia"/>
                <w:b/>
                <w:bCs/>
                <w:lang w:val="en-US" w:eastAsia="zh-CN"/>
              </w:rPr>
              <w:t>46</w:t>
            </w:r>
          </w:p>
        </w:tc>
        <w:tc>
          <w:tcPr>
            <w:tcW w:w="2131" w:type="dxa"/>
            <w:tcBorders>
              <w:top w:val="single" w:color="auto" w:sz="4" w:space="0"/>
              <w:left w:val="single" w:color="auto" w:sz="4" w:space="0"/>
              <w:bottom w:val="single" w:color="auto" w:sz="4" w:space="0"/>
              <w:right w:val="single" w:color="auto" w:sz="4" w:space="0"/>
            </w:tcBorders>
            <w:noWrap w:val="0"/>
            <w:vAlign w:val="center"/>
          </w:tcPr>
          <w:p w14:paraId="028A9CB7">
            <w:pPr>
              <w:jc w:val="center"/>
              <w:rPr>
                <w:rFonts w:hint="eastAsia"/>
                <w:b/>
                <w:bCs/>
              </w:rPr>
            </w:pPr>
            <w:r>
              <w:rPr>
                <w:rFonts w:hint="eastAsia"/>
                <w:b/>
                <w:bCs/>
              </w:rPr>
              <w:t>100%</w:t>
            </w:r>
          </w:p>
        </w:tc>
      </w:tr>
      <w:tr w14:paraId="0A6BA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restart"/>
            <w:tcBorders>
              <w:left w:val="single" w:color="auto" w:sz="4" w:space="0"/>
              <w:right w:val="single" w:color="auto" w:sz="4" w:space="0"/>
            </w:tcBorders>
            <w:noWrap w:val="0"/>
            <w:vAlign w:val="center"/>
          </w:tcPr>
          <w:p w14:paraId="506D36C3">
            <w:pPr>
              <w:jc w:val="center"/>
              <w:rPr>
                <w:b/>
                <w:bCs/>
              </w:rPr>
            </w:pPr>
            <w:r>
              <w:rPr>
                <w:rFonts w:hint="eastAsia"/>
                <w:b/>
                <w:bCs/>
                <w:lang w:val="en-US" w:eastAsia="zh-CN"/>
              </w:rPr>
              <w:t>x</w:t>
            </w:r>
            <w:r>
              <w:rPr>
                <w:rFonts w:hint="eastAsia"/>
                <w:b/>
                <w:bCs/>
                <w:lang w:eastAsia="zh-CN"/>
              </w:rPr>
              <w:t>≤</w:t>
            </w:r>
            <w:r>
              <w:rPr>
                <w:rFonts w:hint="eastAsia"/>
                <w:b/>
                <w:bCs/>
                <w:lang w:val="en-US" w:eastAsia="zh-CN"/>
              </w:rPr>
              <w:t>0.2%</w:t>
            </w:r>
          </w:p>
        </w:tc>
        <w:tc>
          <w:tcPr>
            <w:tcW w:w="2156" w:type="dxa"/>
            <w:tcBorders>
              <w:top w:val="single" w:color="auto" w:sz="4" w:space="0"/>
              <w:left w:val="single" w:color="auto" w:sz="4" w:space="0"/>
              <w:bottom w:val="single" w:color="auto" w:sz="4" w:space="0"/>
              <w:right w:val="single" w:color="auto" w:sz="4" w:space="0"/>
            </w:tcBorders>
            <w:noWrap w:val="0"/>
            <w:vAlign w:val="center"/>
          </w:tcPr>
          <w:p w14:paraId="260B9714">
            <w:pPr>
              <w:jc w:val="center"/>
              <w:rPr>
                <w:rFonts w:hint="default" w:eastAsia="宋体"/>
                <w:b/>
                <w:bCs/>
                <w:kern w:val="2"/>
                <w:sz w:val="21"/>
                <w:szCs w:val="24"/>
                <w:lang w:val="en-US" w:eastAsia="zh-CN" w:bidi="ar-SA"/>
              </w:rPr>
            </w:pPr>
            <w:r>
              <w:rPr>
                <w:b/>
                <w:bCs/>
              </w:rPr>
              <w:t>δerr≤</w:t>
            </w:r>
            <w:r>
              <w:rPr>
                <w:rFonts w:hint="eastAsia"/>
                <w:b/>
                <w:bCs/>
                <w:lang w:val="en-US" w:eastAsia="zh-CN"/>
              </w:rPr>
              <w:t>0.03</w:t>
            </w:r>
          </w:p>
        </w:tc>
        <w:tc>
          <w:tcPr>
            <w:tcW w:w="2113" w:type="dxa"/>
            <w:tcBorders>
              <w:top w:val="single" w:color="auto" w:sz="4" w:space="0"/>
              <w:left w:val="single" w:color="auto" w:sz="4" w:space="0"/>
              <w:bottom w:val="single" w:color="auto" w:sz="4" w:space="0"/>
              <w:right w:val="single" w:color="auto" w:sz="4" w:space="0"/>
            </w:tcBorders>
            <w:noWrap w:val="0"/>
            <w:vAlign w:val="center"/>
          </w:tcPr>
          <w:p w14:paraId="55B0C5E1">
            <w:pPr>
              <w:jc w:val="center"/>
              <w:rPr>
                <w:rFonts w:hint="default" w:eastAsia="宋体"/>
                <w:b/>
                <w:bCs/>
                <w:lang w:val="en-US" w:eastAsia="zh-CN"/>
              </w:rPr>
            </w:pPr>
            <w:r>
              <w:rPr>
                <w:rFonts w:hint="eastAsia"/>
                <w:b/>
                <w:bCs/>
                <w:lang w:val="en-US" w:eastAsia="zh-CN"/>
              </w:rPr>
              <w:t>17</w:t>
            </w:r>
          </w:p>
        </w:tc>
        <w:tc>
          <w:tcPr>
            <w:tcW w:w="2131" w:type="dxa"/>
            <w:tcBorders>
              <w:top w:val="single" w:color="auto" w:sz="4" w:space="0"/>
              <w:left w:val="single" w:color="auto" w:sz="4" w:space="0"/>
              <w:bottom w:val="single" w:color="auto" w:sz="4" w:space="0"/>
              <w:right w:val="single" w:color="auto" w:sz="4" w:space="0"/>
            </w:tcBorders>
            <w:noWrap w:val="0"/>
            <w:vAlign w:val="center"/>
          </w:tcPr>
          <w:p w14:paraId="79DDFCA5">
            <w:pPr>
              <w:jc w:val="center"/>
              <w:rPr>
                <w:rFonts w:hint="default" w:eastAsia="宋体"/>
                <w:b/>
                <w:bCs/>
                <w:lang w:val="en-US" w:eastAsia="zh-CN"/>
              </w:rPr>
            </w:pPr>
            <w:r>
              <w:rPr>
                <w:rFonts w:hint="eastAsia"/>
                <w:b/>
                <w:bCs/>
                <w:lang w:val="en-US" w:eastAsia="zh-CN"/>
              </w:rPr>
              <w:t>73.91%</w:t>
            </w:r>
          </w:p>
        </w:tc>
      </w:tr>
      <w:tr w14:paraId="5D4CF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continue"/>
            <w:tcBorders>
              <w:left w:val="single" w:color="auto" w:sz="4" w:space="0"/>
              <w:right w:val="single" w:color="auto" w:sz="4" w:space="0"/>
            </w:tcBorders>
            <w:noWrap w:val="0"/>
            <w:vAlign w:val="center"/>
          </w:tcPr>
          <w:p w14:paraId="4767E99B">
            <w:pPr>
              <w:jc w:val="center"/>
              <w:rPr>
                <w:b/>
                <w:bCs/>
              </w:rPr>
            </w:pPr>
          </w:p>
        </w:tc>
        <w:tc>
          <w:tcPr>
            <w:tcW w:w="2156" w:type="dxa"/>
            <w:tcBorders>
              <w:top w:val="single" w:color="auto" w:sz="4" w:space="0"/>
              <w:left w:val="single" w:color="auto" w:sz="4" w:space="0"/>
              <w:bottom w:val="single" w:color="auto" w:sz="4" w:space="0"/>
              <w:right w:val="single" w:color="auto" w:sz="4" w:space="0"/>
            </w:tcBorders>
            <w:noWrap w:val="0"/>
            <w:vAlign w:val="center"/>
          </w:tcPr>
          <w:p w14:paraId="2DB76DCE">
            <w:pPr>
              <w:jc w:val="center"/>
              <w:rPr>
                <w:rFonts w:hint="default" w:eastAsia="宋体"/>
                <w:b/>
                <w:bCs/>
                <w:kern w:val="2"/>
                <w:sz w:val="21"/>
                <w:szCs w:val="24"/>
                <w:lang w:val="en-US" w:eastAsia="zh-CN" w:bidi="ar-SA"/>
              </w:rPr>
            </w:pPr>
            <w:r>
              <w:rPr>
                <w:rFonts w:hint="eastAsia"/>
                <w:b/>
                <w:bCs/>
                <w:lang w:val="en-US" w:eastAsia="zh-CN"/>
              </w:rPr>
              <w:t>0.03</w:t>
            </w:r>
            <w:r>
              <w:rPr>
                <w:rFonts w:hint="eastAsia"/>
                <w:b/>
                <w:bCs/>
              </w:rPr>
              <w:t>&lt;</w:t>
            </w:r>
            <w:r>
              <w:rPr>
                <w:b/>
                <w:bCs/>
              </w:rPr>
              <w:t>δerr≤</w:t>
            </w:r>
            <w:r>
              <w:rPr>
                <w:rFonts w:hint="eastAsia"/>
                <w:b/>
                <w:bCs/>
                <w:lang w:val="en-US" w:eastAsia="zh-CN"/>
              </w:rPr>
              <w:t>0.04</w:t>
            </w:r>
          </w:p>
        </w:tc>
        <w:tc>
          <w:tcPr>
            <w:tcW w:w="2113" w:type="dxa"/>
            <w:tcBorders>
              <w:top w:val="single" w:color="auto" w:sz="4" w:space="0"/>
              <w:left w:val="single" w:color="auto" w:sz="4" w:space="0"/>
              <w:bottom w:val="single" w:color="auto" w:sz="4" w:space="0"/>
              <w:right w:val="single" w:color="auto" w:sz="4" w:space="0"/>
            </w:tcBorders>
            <w:noWrap w:val="0"/>
            <w:vAlign w:val="center"/>
          </w:tcPr>
          <w:p w14:paraId="40A865D1">
            <w:pPr>
              <w:jc w:val="center"/>
              <w:rPr>
                <w:rFonts w:hint="default" w:eastAsia="宋体"/>
                <w:b/>
                <w:bCs/>
                <w:lang w:val="en-US" w:eastAsia="zh-CN"/>
              </w:rPr>
            </w:pPr>
            <w:r>
              <w:rPr>
                <w:rFonts w:hint="eastAsia"/>
                <w:b/>
                <w:bCs/>
                <w:lang w:val="en-US" w:eastAsia="zh-CN"/>
              </w:rPr>
              <w:t>20</w:t>
            </w:r>
          </w:p>
        </w:tc>
        <w:tc>
          <w:tcPr>
            <w:tcW w:w="2131" w:type="dxa"/>
            <w:tcBorders>
              <w:top w:val="single" w:color="auto" w:sz="4" w:space="0"/>
              <w:left w:val="single" w:color="auto" w:sz="4" w:space="0"/>
              <w:bottom w:val="single" w:color="auto" w:sz="4" w:space="0"/>
              <w:right w:val="single" w:color="auto" w:sz="4" w:space="0"/>
            </w:tcBorders>
            <w:noWrap w:val="0"/>
            <w:vAlign w:val="center"/>
          </w:tcPr>
          <w:p w14:paraId="533D3C0A">
            <w:pPr>
              <w:jc w:val="center"/>
              <w:rPr>
                <w:rFonts w:hint="default" w:eastAsia="宋体"/>
                <w:b/>
                <w:bCs/>
                <w:lang w:val="en-US" w:eastAsia="zh-CN"/>
              </w:rPr>
            </w:pPr>
            <w:r>
              <w:rPr>
                <w:rFonts w:hint="eastAsia"/>
                <w:b/>
                <w:bCs/>
                <w:lang w:val="en-US" w:eastAsia="zh-CN"/>
              </w:rPr>
              <w:t>86.96%</w:t>
            </w:r>
          </w:p>
        </w:tc>
      </w:tr>
      <w:tr w14:paraId="43B73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continue"/>
            <w:tcBorders>
              <w:left w:val="single" w:color="auto" w:sz="4" w:space="0"/>
              <w:right w:val="single" w:color="auto" w:sz="4" w:space="0"/>
            </w:tcBorders>
            <w:noWrap w:val="0"/>
            <w:vAlign w:val="center"/>
          </w:tcPr>
          <w:p w14:paraId="05E61819">
            <w:pPr>
              <w:jc w:val="center"/>
              <w:rPr>
                <w:b/>
                <w:bCs/>
              </w:rPr>
            </w:pPr>
          </w:p>
        </w:tc>
        <w:tc>
          <w:tcPr>
            <w:tcW w:w="2156" w:type="dxa"/>
            <w:tcBorders>
              <w:top w:val="single" w:color="auto" w:sz="4" w:space="0"/>
              <w:left w:val="single" w:color="auto" w:sz="4" w:space="0"/>
              <w:bottom w:val="single" w:color="auto" w:sz="4" w:space="0"/>
              <w:right w:val="single" w:color="auto" w:sz="4" w:space="0"/>
            </w:tcBorders>
            <w:noWrap w:val="0"/>
            <w:vAlign w:val="center"/>
          </w:tcPr>
          <w:p w14:paraId="3665D655">
            <w:pPr>
              <w:jc w:val="center"/>
              <w:rPr>
                <w:rFonts w:hint="default"/>
                <w:b/>
                <w:bCs/>
                <w:kern w:val="2"/>
                <w:sz w:val="21"/>
                <w:szCs w:val="24"/>
                <w:lang w:val="en-US" w:eastAsia="zh-CN" w:bidi="ar-SA"/>
              </w:rPr>
            </w:pPr>
            <w:r>
              <w:rPr>
                <w:rFonts w:hint="eastAsia"/>
                <w:b/>
                <w:bCs/>
                <w:lang w:val="en-US" w:eastAsia="zh-CN"/>
              </w:rPr>
              <w:t>0.04</w:t>
            </w:r>
            <w:r>
              <w:rPr>
                <w:rFonts w:hint="eastAsia"/>
                <w:b/>
                <w:bCs/>
              </w:rPr>
              <w:t>&lt;</w:t>
            </w:r>
            <w:r>
              <w:rPr>
                <w:b/>
                <w:bCs/>
              </w:rPr>
              <w:t>δerr≤</w:t>
            </w:r>
            <w:r>
              <w:rPr>
                <w:rFonts w:hint="eastAsia"/>
                <w:b/>
                <w:bCs/>
                <w:lang w:val="en-US" w:eastAsia="zh-CN"/>
              </w:rPr>
              <w:t>0.05</w:t>
            </w:r>
          </w:p>
        </w:tc>
        <w:tc>
          <w:tcPr>
            <w:tcW w:w="2113" w:type="dxa"/>
            <w:tcBorders>
              <w:top w:val="single" w:color="auto" w:sz="4" w:space="0"/>
              <w:left w:val="single" w:color="auto" w:sz="4" w:space="0"/>
              <w:bottom w:val="single" w:color="auto" w:sz="4" w:space="0"/>
              <w:right w:val="single" w:color="auto" w:sz="4" w:space="0"/>
            </w:tcBorders>
            <w:noWrap w:val="0"/>
            <w:vAlign w:val="center"/>
          </w:tcPr>
          <w:p w14:paraId="2B8AA9FF">
            <w:pPr>
              <w:jc w:val="center"/>
              <w:rPr>
                <w:rFonts w:hint="default" w:eastAsia="宋体"/>
                <w:b/>
                <w:bCs/>
                <w:lang w:val="en-US" w:eastAsia="zh-CN"/>
              </w:rPr>
            </w:pPr>
            <w:r>
              <w:rPr>
                <w:rFonts w:hint="eastAsia"/>
                <w:b/>
                <w:bCs/>
                <w:lang w:val="en-US" w:eastAsia="zh-CN"/>
              </w:rPr>
              <w:t>22</w:t>
            </w:r>
          </w:p>
        </w:tc>
        <w:tc>
          <w:tcPr>
            <w:tcW w:w="2131" w:type="dxa"/>
            <w:tcBorders>
              <w:top w:val="single" w:color="auto" w:sz="4" w:space="0"/>
              <w:left w:val="single" w:color="auto" w:sz="4" w:space="0"/>
              <w:bottom w:val="single" w:color="auto" w:sz="4" w:space="0"/>
              <w:right w:val="single" w:color="auto" w:sz="4" w:space="0"/>
            </w:tcBorders>
            <w:noWrap w:val="0"/>
            <w:vAlign w:val="center"/>
          </w:tcPr>
          <w:p w14:paraId="2510DCCF">
            <w:pPr>
              <w:jc w:val="center"/>
              <w:rPr>
                <w:rFonts w:hint="default" w:eastAsia="宋体"/>
                <w:b/>
                <w:bCs/>
                <w:lang w:val="en-US" w:eastAsia="zh-CN"/>
              </w:rPr>
            </w:pPr>
            <w:r>
              <w:rPr>
                <w:rFonts w:hint="eastAsia"/>
                <w:b/>
                <w:bCs/>
                <w:lang w:val="en-US" w:eastAsia="zh-CN"/>
              </w:rPr>
              <w:t>95.65%</w:t>
            </w:r>
          </w:p>
        </w:tc>
      </w:tr>
      <w:tr w14:paraId="64BC3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Merge w:val="continue"/>
            <w:tcBorders>
              <w:left w:val="single" w:color="auto" w:sz="4" w:space="0"/>
              <w:bottom w:val="single" w:color="auto" w:sz="4" w:space="0"/>
              <w:right w:val="single" w:color="auto" w:sz="4" w:space="0"/>
            </w:tcBorders>
            <w:noWrap w:val="0"/>
            <w:vAlign w:val="center"/>
          </w:tcPr>
          <w:p w14:paraId="1DBF9B39">
            <w:pPr>
              <w:jc w:val="center"/>
              <w:rPr>
                <w:b/>
                <w:bCs/>
              </w:rPr>
            </w:pPr>
          </w:p>
        </w:tc>
        <w:tc>
          <w:tcPr>
            <w:tcW w:w="2156" w:type="dxa"/>
            <w:tcBorders>
              <w:top w:val="single" w:color="auto" w:sz="4" w:space="0"/>
              <w:left w:val="single" w:color="auto" w:sz="4" w:space="0"/>
              <w:bottom w:val="single" w:color="auto" w:sz="4" w:space="0"/>
              <w:right w:val="single" w:color="auto" w:sz="4" w:space="0"/>
            </w:tcBorders>
            <w:noWrap w:val="0"/>
            <w:vAlign w:val="center"/>
          </w:tcPr>
          <w:p w14:paraId="14B089B8">
            <w:pPr>
              <w:jc w:val="center"/>
              <w:rPr>
                <w:rFonts w:hint="default"/>
                <w:b/>
                <w:bCs/>
                <w:lang w:val="en-US"/>
              </w:rPr>
            </w:pPr>
            <w:r>
              <w:rPr>
                <w:b/>
                <w:bCs/>
              </w:rPr>
              <w:t>δerr &gt;</w:t>
            </w:r>
            <w:r>
              <w:rPr>
                <w:rFonts w:hint="eastAsia"/>
                <w:b/>
                <w:bCs/>
                <w:lang w:val="en-US" w:eastAsia="zh-CN"/>
              </w:rPr>
              <w:t>0.05</w:t>
            </w:r>
          </w:p>
        </w:tc>
        <w:tc>
          <w:tcPr>
            <w:tcW w:w="2113" w:type="dxa"/>
            <w:tcBorders>
              <w:top w:val="single" w:color="auto" w:sz="4" w:space="0"/>
              <w:left w:val="single" w:color="auto" w:sz="4" w:space="0"/>
              <w:bottom w:val="single" w:color="auto" w:sz="4" w:space="0"/>
              <w:right w:val="single" w:color="auto" w:sz="4" w:space="0"/>
            </w:tcBorders>
            <w:noWrap w:val="0"/>
            <w:vAlign w:val="center"/>
          </w:tcPr>
          <w:p w14:paraId="2F38EACF">
            <w:pPr>
              <w:jc w:val="center"/>
              <w:rPr>
                <w:rFonts w:hint="default" w:eastAsia="宋体"/>
                <w:b/>
                <w:bCs/>
                <w:lang w:val="en-US" w:eastAsia="zh-CN"/>
              </w:rPr>
            </w:pPr>
            <w:r>
              <w:rPr>
                <w:rFonts w:hint="eastAsia"/>
                <w:b/>
                <w:bCs/>
                <w:lang w:val="en-US" w:eastAsia="zh-CN"/>
              </w:rPr>
              <w:t>23</w:t>
            </w:r>
          </w:p>
        </w:tc>
        <w:tc>
          <w:tcPr>
            <w:tcW w:w="2131" w:type="dxa"/>
            <w:tcBorders>
              <w:top w:val="single" w:color="auto" w:sz="4" w:space="0"/>
              <w:left w:val="single" w:color="auto" w:sz="4" w:space="0"/>
              <w:bottom w:val="single" w:color="auto" w:sz="4" w:space="0"/>
              <w:right w:val="single" w:color="auto" w:sz="4" w:space="0"/>
            </w:tcBorders>
            <w:noWrap w:val="0"/>
            <w:vAlign w:val="center"/>
          </w:tcPr>
          <w:p w14:paraId="6C969946">
            <w:pPr>
              <w:jc w:val="center"/>
              <w:rPr>
                <w:rFonts w:hint="eastAsia"/>
                <w:b/>
                <w:bCs/>
              </w:rPr>
            </w:pPr>
            <w:r>
              <w:rPr>
                <w:rFonts w:hint="eastAsia"/>
                <w:b/>
                <w:bCs/>
              </w:rPr>
              <w:t>100%</w:t>
            </w:r>
          </w:p>
        </w:tc>
      </w:tr>
      <w:bookmarkEnd w:id="25"/>
      <w:bookmarkEnd w:id="26"/>
    </w:tbl>
    <w:p w14:paraId="2CF2C622">
      <w:pPr>
        <w:spacing w:line="360" w:lineRule="auto"/>
        <w:ind w:firstLine="480" w:firstLineChars="200"/>
        <w:jc w:val="left"/>
        <w:rPr>
          <w:rFonts w:hint="eastAsia" w:ascii="宋体" w:hAnsi="宋体"/>
          <w:sz w:val="24"/>
        </w:rPr>
      </w:pPr>
      <w:r>
        <w:rPr>
          <w:rFonts w:hint="eastAsia" w:ascii="宋体" w:hAnsi="宋体"/>
          <w:sz w:val="24"/>
          <w:lang w:val="en-US" w:eastAsia="zh-CN"/>
        </w:rPr>
        <w:t>残炭值大于5%分段中,</w:t>
      </w:r>
      <w:r>
        <w:rPr>
          <w:rFonts w:hint="eastAsia" w:ascii="宋体" w:hAnsi="宋体"/>
          <w:sz w:val="24"/>
        </w:rPr>
        <w:t>当</w:t>
      </w:r>
      <w:r>
        <w:rPr>
          <w:rFonts w:ascii="宋体" w:hAnsi="宋体"/>
          <w:sz w:val="24"/>
        </w:rPr>
        <w:t>δerr≤</w:t>
      </w:r>
      <w:r>
        <w:rPr>
          <w:rFonts w:hint="eastAsia" w:ascii="宋体" w:hAnsi="宋体"/>
          <w:sz w:val="24"/>
          <w:lang w:val="en-US" w:eastAsia="zh-CN"/>
        </w:rPr>
        <w:t>2.0</w:t>
      </w:r>
      <w:r>
        <w:rPr>
          <w:rFonts w:ascii="宋体" w:hAnsi="宋体"/>
          <w:sz w:val="24"/>
        </w:rPr>
        <w:t>%</w:t>
      </w:r>
      <w:r>
        <w:rPr>
          <w:rFonts w:hint="eastAsia" w:ascii="宋体" w:hAnsi="宋体"/>
          <w:sz w:val="24"/>
        </w:rPr>
        <w:t>时，可覆盖</w:t>
      </w:r>
      <w:r>
        <w:rPr>
          <w:rFonts w:ascii="宋体" w:hAnsi="宋体"/>
          <w:sz w:val="24"/>
        </w:rPr>
        <w:t>9</w:t>
      </w:r>
      <w:r>
        <w:rPr>
          <w:rFonts w:hint="eastAsia" w:ascii="宋体" w:hAnsi="宋体"/>
          <w:sz w:val="24"/>
          <w:lang w:val="en-US" w:eastAsia="zh-CN"/>
        </w:rPr>
        <w:t>6.55</w:t>
      </w:r>
      <w:r>
        <w:rPr>
          <w:rFonts w:ascii="宋体" w:hAnsi="宋体"/>
          <w:sz w:val="24"/>
        </w:rPr>
        <w:t>%</w:t>
      </w:r>
      <w:r>
        <w:rPr>
          <w:rFonts w:hint="eastAsia" w:ascii="宋体" w:hAnsi="宋体"/>
          <w:sz w:val="24"/>
        </w:rPr>
        <w:t>（</w:t>
      </w:r>
      <w:r>
        <w:rPr>
          <w:rFonts w:hint="eastAsia" w:ascii="宋体" w:hAnsi="宋体"/>
          <w:sz w:val="24"/>
          <w:lang w:val="en-US" w:eastAsia="zh-CN"/>
        </w:rPr>
        <w:t>56</w:t>
      </w:r>
      <w:r>
        <w:rPr>
          <w:rFonts w:ascii="宋体" w:hAnsi="宋体"/>
          <w:sz w:val="24"/>
        </w:rPr>
        <w:t>/</w:t>
      </w:r>
      <w:r>
        <w:rPr>
          <w:rFonts w:hint="eastAsia" w:ascii="宋体" w:hAnsi="宋体"/>
          <w:sz w:val="24"/>
          <w:lang w:val="en-US" w:eastAsia="zh-CN"/>
        </w:rPr>
        <w:t>58</w:t>
      </w:r>
      <w:r>
        <w:rPr>
          <w:rFonts w:hint="eastAsia" w:ascii="宋体" w:hAnsi="宋体"/>
          <w:sz w:val="24"/>
        </w:rPr>
        <w:t>）的测量数据</w:t>
      </w:r>
      <w:r>
        <w:rPr>
          <w:rFonts w:hint="eastAsia" w:ascii="宋体" w:hAnsi="宋体"/>
          <w:sz w:val="24"/>
          <w:lang w:eastAsia="zh-CN"/>
        </w:rPr>
        <w:t>；</w:t>
      </w:r>
      <w:r>
        <w:rPr>
          <w:rFonts w:hint="eastAsia" w:ascii="宋体" w:hAnsi="宋体"/>
          <w:sz w:val="24"/>
          <w:lang w:val="en-US" w:eastAsia="zh-CN"/>
        </w:rPr>
        <w:t>5%-0.2%分段中，</w:t>
      </w:r>
      <w:r>
        <w:rPr>
          <w:rFonts w:hint="eastAsia" w:ascii="宋体" w:hAnsi="宋体"/>
          <w:sz w:val="24"/>
        </w:rPr>
        <w:t>当</w:t>
      </w:r>
      <w:r>
        <w:rPr>
          <w:rFonts w:ascii="宋体" w:hAnsi="宋体"/>
          <w:sz w:val="24"/>
        </w:rPr>
        <w:t>δerr≤</w:t>
      </w:r>
      <w:r>
        <w:rPr>
          <w:rFonts w:hint="eastAsia" w:ascii="宋体" w:hAnsi="宋体"/>
          <w:sz w:val="24"/>
          <w:lang w:val="en-US" w:eastAsia="zh-CN"/>
        </w:rPr>
        <w:t>0.25</w:t>
      </w:r>
      <w:r>
        <w:rPr>
          <w:rFonts w:ascii="宋体" w:hAnsi="宋体"/>
          <w:sz w:val="24"/>
        </w:rPr>
        <w:t>%</w:t>
      </w:r>
      <w:r>
        <w:rPr>
          <w:rFonts w:hint="eastAsia" w:ascii="宋体" w:hAnsi="宋体"/>
          <w:sz w:val="24"/>
        </w:rPr>
        <w:t>时，可覆盖</w:t>
      </w:r>
      <w:r>
        <w:rPr>
          <w:rFonts w:ascii="宋体" w:hAnsi="宋体"/>
          <w:sz w:val="24"/>
        </w:rPr>
        <w:t>9</w:t>
      </w:r>
      <w:r>
        <w:rPr>
          <w:rFonts w:hint="eastAsia" w:ascii="宋体" w:hAnsi="宋体"/>
          <w:sz w:val="24"/>
          <w:lang w:val="en-US" w:eastAsia="zh-CN"/>
        </w:rPr>
        <w:t>5.65</w:t>
      </w:r>
      <w:r>
        <w:rPr>
          <w:rFonts w:ascii="宋体" w:hAnsi="宋体"/>
          <w:sz w:val="24"/>
        </w:rPr>
        <w:t>%</w:t>
      </w:r>
      <w:r>
        <w:rPr>
          <w:rFonts w:hint="eastAsia" w:ascii="宋体" w:hAnsi="宋体"/>
          <w:sz w:val="24"/>
        </w:rPr>
        <w:t>（</w:t>
      </w:r>
      <w:r>
        <w:rPr>
          <w:rFonts w:hint="eastAsia" w:ascii="宋体" w:hAnsi="宋体"/>
          <w:sz w:val="24"/>
          <w:lang w:val="en-US" w:eastAsia="zh-CN"/>
        </w:rPr>
        <w:t>44</w:t>
      </w:r>
      <w:r>
        <w:rPr>
          <w:rFonts w:ascii="宋体" w:hAnsi="宋体"/>
          <w:sz w:val="24"/>
        </w:rPr>
        <w:t>/</w:t>
      </w:r>
      <w:r>
        <w:rPr>
          <w:rFonts w:hint="eastAsia" w:ascii="宋体" w:hAnsi="宋体"/>
          <w:sz w:val="24"/>
          <w:lang w:val="en-US" w:eastAsia="zh-CN"/>
        </w:rPr>
        <w:t>46</w:t>
      </w:r>
      <w:r>
        <w:rPr>
          <w:rFonts w:hint="eastAsia" w:ascii="宋体" w:hAnsi="宋体"/>
          <w:sz w:val="24"/>
        </w:rPr>
        <w:t>）的测量数据</w:t>
      </w:r>
      <w:r>
        <w:rPr>
          <w:rFonts w:hint="eastAsia" w:ascii="宋体" w:hAnsi="宋体"/>
          <w:sz w:val="24"/>
          <w:lang w:eastAsia="zh-CN"/>
        </w:rPr>
        <w:t>；</w:t>
      </w:r>
      <w:r>
        <w:rPr>
          <w:rFonts w:hint="eastAsia" w:ascii="宋体" w:hAnsi="宋体"/>
          <w:sz w:val="24"/>
          <w:lang w:val="en-US" w:eastAsia="zh-CN"/>
        </w:rPr>
        <w:t>小于0.2%分段中，</w:t>
      </w:r>
      <w:r>
        <w:rPr>
          <w:rFonts w:hint="eastAsia" w:ascii="宋体" w:hAnsi="宋体"/>
          <w:sz w:val="24"/>
        </w:rPr>
        <w:t>当</w:t>
      </w:r>
      <w:r>
        <w:rPr>
          <w:rFonts w:ascii="宋体" w:hAnsi="宋体"/>
          <w:sz w:val="24"/>
        </w:rPr>
        <w:t>δerr≤</w:t>
      </w:r>
      <w:r>
        <w:rPr>
          <w:rFonts w:hint="eastAsia" w:ascii="宋体" w:hAnsi="宋体"/>
          <w:sz w:val="24"/>
          <w:lang w:val="en-US" w:eastAsia="zh-CN"/>
        </w:rPr>
        <w:t>0.05</w:t>
      </w:r>
      <w:r>
        <w:rPr>
          <w:rFonts w:ascii="宋体" w:hAnsi="宋体"/>
          <w:sz w:val="24"/>
        </w:rPr>
        <w:t>%</w:t>
      </w:r>
      <w:r>
        <w:rPr>
          <w:rFonts w:hint="eastAsia" w:ascii="宋体" w:hAnsi="宋体"/>
          <w:sz w:val="24"/>
        </w:rPr>
        <w:t>时，可覆盖</w:t>
      </w:r>
      <w:r>
        <w:rPr>
          <w:rFonts w:ascii="宋体" w:hAnsi="宋体"/>
          <w:sz w:val="24"/>
        </w:rPr>
        <w:t>9</w:t>
      </w:r>
      <w:r>
        <w:rPr>
          <w:rFonts w:hint="eastAsia" w:ascii="宋体" w:hAnsi="宋体"/>
          <w:sz w:val="24"/>
          <w:lang w:val="en-US" w:eastAsia="zh-CN"/>
        </w:rPr>
        <w:t>5.65</w:t>
      </w:r>
      <w:r>
        <w:rPr>
          <w:rFonts w:ascii="宋体" w:hAnsi="宋体"/>
          <w:sz w:val="24"/>
        </w:rPr>
        <w:t>%</w:t>
      </w:r>
      <w:r>
        <w:rPr>
          <w:rFonts w:hint="eastAsia" w:ascii="宋体" w:hAnsi="宋体"/>
          <w:sz w:val="24"/>
        </w:rPr>
        <w:t>（</w:t>
      </w:r>
      <w:r>
        <w:rPr>
          <w:rFonts w:hint="eastAsia" w:ascii="宋体" w:hAnsi="宋体"/>
          <w:sz w:val="24"/>
          <w:lang w:val="en-US" w:eastAsia="zh-CN"/>
        </w:rPr>
        <w:t>22</w:t>
      </w:r>
      <w:r>
        <w:rPr>
          <w:rFonts w:ascii="宋体" w:hAnsi="宋体"/>
          <w:sz w:val="24"/>
        </w:rPr>
        <w:t>/</w:t>
      </w:r>
      <w:r>
        <w:rPr>
          <w:rFonts w:hint="eastAsia" w:ascii="宋体" w:hAnsi="宋体"/>
          <w:sz w:val="24"/>
          <w:lang w:val="en-US" w:eastAsia="zh-CN"/>
        </w:rPr>
        <w:t>23</w:t>
      </w:r>
      <w:r>
        <w:rPr>
          <w:rFonts w:hint="eastAsia" w:ascii="宋体" w:hAnsi="宋体"/>
          <w:sz w:val="24"/>
        </w:rPr>
        <w:t>）的测量数据</w:t>
      </w:r>
      <w:r>
        <w:rPr>
          <w:rFonts w:hint="eastAsia" w:ascii="宋体" w:hAnsi="宋体"/>
          <w:sz w:val="24"/>
          <w:lang w:val="en-US" w:eastAsia="zh-CN"/>
        </w:rPr>
        <w:t>。</w:t>
      </w:r>
    </w:p>
    <w:p w14:paraId="3F19C785">
      <w:pPr>
        <w:spacing w:line="360" w:lineRule="auto"/>
        <w:ind w:firstLine="480" w:firstLineChars="200"/>
        <w:jc w:val="left"/>
        <w:rPr>
          <w:rFonts w:ascii="宋体" w:hAnsi="宋体"/>
          <w:sz w:val="24"/>
        </w:rPr>
      </w:pPr>
      <w:r>
        <w:rPr>
          <w:rFonts w:hint="eastAsia" w:ascii="宋体" w:hAnsi="宋体"/>
          <w:sz w:val="24"/>
          <w:lang w:eastAsia="zh-CN"/>
        </w:rPr>
        <w:t>根据目前数据，</w:t>
      </w:r>
      <w:r>
        <w:rPr>
          <w:rFonts w:hint="eastAsia" w:ascii="宋体" w:hAnsi="宋体"/>
          <w:sz w:val="24"/>
        </w:rPr>
        <w:t>确定在本校准规范中，仪器最大允许误差（</w:t>
      </w:r>
      <w:r>
        <w:rPr>
          <w:rFonts w:ascii="宋体" w:hAnsi="宋体"/>
          <w:sz w:val="24"/>
        </w:rPr>
        <w:t>MPE</w:t>
      </w:r>
      <w:r>
        <w:rPr>
          <w:rFonts w:hint="eastAsia" w:ascii="宋体" w:hAnsi="宋体"/>
          <w:sz w:val="24"/>
        </w:rPr>
        <w:t>）</w:t>
      </w:r>
      <w:r>
        <w:rPr>
          <w:rFonts w:hint="eastAsia" w:ascii="宋体" w:hAnsi="宋体"/>
          <w:sz w:val="24"/>
          <w:lang w:eastAsia="zh-CN"/>
        </w:rPr>
        <w:t>：当</w:t>
      </w:r>
      <w:r>
        <w:rPr>
          <w:rFonts w:hint="eastAsia" w:ascii="宋体" w:hAnsi="宋体"/>
          <w:sz w:val="24"/>
          <w:lang w:val="en-US" w:eastAsia="zh-CN"/>
        </w:rPr>
        <w:t>x</w:t>
      </w:r>
      <w:r>
        <w:rPr>
          <w:rFonts w:hint="eastAsia" w:ascii="宋体" w:hAnsi="宋体"/>
          <w:sz w:val="24"/>
          <w:lang w:eastAsia="zh-CN"/>
        </w:rPr>
        <w:t>≥</w:t>
      </w:r>
      <w:r>
        <w:rPr>
          <w:rFonts w:hint="eastAsia" w:ascii="宋体" w:hAnsi="宋体"/>
          <w:sz w:val="24"/>
          <w:lang w:val="en-US" w:eastAsia="zh-CN"/>
        </w:rPr>
        <w:t>5%时，</w:t>
      </w:r>
      <w:r>
        <w:rPr>
          <w:rFonts w:hint="eastAsia" w:ascii="宋体" w:hAnsi="宋体"/>
          <w:sz w:val="24"/>
        </w:rPr>
        <w:t>为±</w:t>
      </w:r>
      <w:r>
        <w:rPr>
          <w:rFonts w:hint="eastAsia" w:ascii="宋体" w:hAnsi="宋体"/>
          <w:sz w:val="24"/>
          <w:lang w:val="en-US" w:eastAsia="zh-CN"/>
        </w:rPr>
        <w:t>2.0</w:t>
      </w:r>
      <w:r>
        <w:rPr>
          <w:rFonts w:ascii="宋体" w:hAnsi="宋体"/>
          <w:sz w:val="24"/>
        </w:rPr>
        <w:t>%</w:t>
      </w:r>
      <w:r>
        <w:rPr>
          <w:rFonts w:hint="eastAsia" w:ascii="宋体" w:hAnsi="宋体"/>
          <w:sz w:val="24"/>
          <w:lang w:eastAsia="zh-CN"/>
        </w:rPr>
        <w:t>；当</w:t>
      </w:r>
      <w:r>
        <w:rPr>
          <w:rFonts w:hint="eastAsia" w:ascii="宋体" w:hAnsi="宋体"/>
          <w:sz w:val="24"/>
          <w:lang w:val="en-US" w:eastAsia="zh-CN"/>
        </w:rPr>
        <w:t>0.2%</w:t>
      </w:r>
      <w:r>
        <w:rPr>
          <w:rFonts w:hint="eastAsia" w:ascii="宋体" w:hAnsi="宋体"/>
          <w:sz w:val="24"/>
          <w:lang w:eastAsia="zh-CN"/>
        </w:rPr>
        <w:t>＜</w:t>
      </w:r>
      <w:r>
        <w:rPr>
          <w:rFonts w:hint="eastAsia" w:ascii="宋体" w:hAnsi="宋体"/>
          <w:sz w:val="24"/>
          <w:lang w:val="en-US" w:eastAsia="zh-CN"/>
        </w:rPr>
        <w:t>x</w:t>
      </w:r>
      <w:r>
        <w:rPr>
          <w:rFonts w:hint="eastAsia" w:ascii="宋体" w:hAnsi="宋体"/>
          <w:sz w:val="24"/>
          <w:lang w:eastAsia="zh-CN"/>
        </w:rPr>
        <w:t>＜</w:t>
      </w:r>
      <w:r>
        <w:rPr>
          <w:rFonts w:hint="eastAsia" w:ascii="宋体" w:hAnsi="宋体"/>
          <w:sz w:val="24"/>
          <w:lang w:val="en-US" w:eastAsia="zh-CN"/>
        </w:rPr>
        <w:t>5%时，</w:t>
      </w:r>
      <w:r>
        <w:rPr>
          <w:rFonts w:hint="eastAsia" w:ascii="宋体" w:hAnsi="宋体"/>
          <w:sz w:val="24"/>
        </w:rPr>
        <w:t>为±</w:t>
      </w:r>
      <w:r>
        <w:rPr>
          <w:rFonts w:hint="eastAsia" w:ascii="宋体" w:hAnsi="宋体"/>
          <w:sz w:val="24"/>
          <w:lang w:val="en-US" w:eastAsia="zh-CN"/>
        </w:rPr>
        <w:t>0.25</w:t>
      </w:r>
      <w:r>
        <w:rPr>
          <w:rFonts w:ascii="宋体" w:hAnsi="宋体"/>
          <w:sz w:val="24"/>
        </w:rPr>
        <w:t>%</w:t>
      </w:r>
      <w:r>
        <w:rPr>
          <w:rFonts w:hint="eastAsia" w:ascii="宋体" w:hAnsi="宋体"/>
          <w:sz w:val="24"/>
          <w:lang w:eastAsia="zh-CN"/>
        </w:rPr>
        <w:t>；当</w:t>
      </w:r>
      <w:r>
        <w:rPr>
          <w:rFonts w:hint="eastAsia" w:ascii="宋体" w:hAnsi="宋体"/>
          <w:sz w:val="24"/>
          <w:lang w:val="en-US" w:eastAsia="zh-CN"/>
        </w:rPr>
        <w:t>x</w:t>
      </w:r>
      <w:r>
        <w:rPr>
          <w:rFonts w:hint="eastAsia" w:ascii="宋体" w:hAnsi="宋体"/>
          <w:sz w:val="24"/>
          <w:lang w:eastAsia="zh-CN"/>
        </w:rPr>
        <w:t>≤</w:t>
      </w:r>
      <w:r>
        <w:rPr>
          <w:rFonts w:hint="eastAsia" w:ascii="宋体" w:hAnsi="宋体"/>
          <w:sz w:val="24"/>
          <w:lang w:val="en-US" w:eastAsia="zh-CN"/>
        </w:rPr>
        <w:t>0.2%时，</w:t>
      </w:r>
      <w:r>
        <w:rPr>
          <w:rFonts w:hint="eastAsia" w:ascii="宋体" w:hAnsi="宋体"/>
          <w:sz w:val="24"/>
        </w:rPr>
        <w:t>为±</w:t>
      </w:r>
      <w:r>
        <w:rPr>
          <w:rFonts w:hint="eastAsia" w:ascii="宋体" w:hAnsi="宋体"/>
          <w:sz w:val="24"/>
          <w:lang w:val="en-US" w:eastAsia="zh-CN"/>
        </w:rPr>
        <w:t>0.05</w:t>
      </w:r>
      <w:r>
        <w:rPr>
          <w:rFonts w:ascii="宋体" w:hAnsi="宋体"/>
          <w:sz w:val="24"/>
        </w:rPr>
        <w:t>%</w:t>
      </w:r>
      <w:r>
        <w:rPr>
          <w:rFonts w:hint="eastAsia" w:ascii="宋体" w:hAnsi="宋体"/>
          <w:sz w:val="24"/>
        </w:rPr>
        <w:t>。</w:t>
      </w:r>
    </w:p>
    <w:p w14:paraId="287D2BBA">
      <w:pPr>
        <w:autoSpaceDE w:val="0"/>
        <w:autoSpaceDN w:val="0"/>
        <w:adjustRightInd w:val="0"/>
        <w:spacing w:line="500" w:lineRule="exact"/>
        <w:ind w:firstLine="460" w:firstLineChars="192"/>
        <w:rPr>
          <w:rFonts w:ascii="宋体" w:cs="宋体"/>
          <w:color w:val="000000"/>
          <w:kern w:val="0"/>
          <w:sz w:val="24"/>
        </w:rPr>
      </w:pPr>
      <w:r>
        <w:rPr>
          <w:rFonts w:hint="eastAsia" w:ascii="宋体" w:cs="宋体"/>
          <w:color w:val="000000"/>
          <w:kern w:val="0"/>
          <w:sz w:val="24"/>
          <w:lang w:val="en-US" w:eastAsia="zh-CN"/>
        </w:rPr>
        <w:t>2</w:t>
      </w:r>
      <w:r>
        <w:rPr>
          <w:rFonts w:hint="eastAsia" w:ascii="宋体" w:cs="宋体"/>
          <w:color w:val="000000"/>
          <w:kern w:val="0"/>
          <w:sz w:val="24"/>
        </w:rPr>
        <w:t>、整机重复性</w:t>
      </w:r>
    </w:p>
    <w:p w14:paraId="44930727">
      <w:pPr>
        <w:spacing w:line="360" w:lineRule="auto"/>
        <w:ind w:firstLine="480" w:firstLineChars="200"/>
        <w:jc w:val="left"/>
        <w:rPr>
          <w:rFonts w:hint="eastAsia" w:ascii="宋体" w:hAnsi="宋体"/>
          <w:sz w:val="24"/>
        </w:rPr>
      </w:pPr>
      <w:r>
        <w:rPr>
          <w:rFonts w:hint="eastAsia" w:ascii="宋体" w:hAnsi="宋体"/>
          <w:sz w:val="24"/>
        </w:rPr>
        <w:t>采用</w:t>
      </w:r>
      <w:r>
        <w:rPr>
          <w:rFonts w:ascii="宋体" w:hAnsi="宋体"/>
          <w:sz w:val="24"/>
        </w:rPr>
        <w:t>3</w:t>
      </w:r>
      <w:r>
        <w:rPr>
          <w:rFonts w:hint="eastAsia" w:ascii="宋体" w:hAnsi="宋体"/>
          <w:sz w:val="24"/>
        </w:rPr>
        <w:t>次</w:t>
      </w:r>
      <w:r>
        <w:rPr>
          <w:rFonts w:ascii="宋体" w:hAnsi="宋体"/>
          <w:sz w:val="24"/>
        </w:rPr>
        <w:t>测量数据的</w:t>
      </w:r>
      <w:r>
        <w:rPr>
          <w:rFonts w:hint="eastAsia" w:ascii="宋体" w:hAnsi="宋体"/>
          <w:sz w:val="24"/>
        </w:rPr>
        <w:t>极差作为重复性计算方法，根据格拉布斯法，</w:t>
      </w:r>
      <w:r>
        <w:rPr>
          <w:rFonts w:hint="eastAsia" w:ascii="宋体" w:hAnsi="宋体"/>
          <w:sz w:val="24"/>
          <w:lang w:eastAsia="zh-CN"/>
        </w:rPr>
        <w:t>排除</w:t>
      </w:r>
      <w:r>
        <w:rPr>
          <w:rFonts w:hint="eastAsia" w:ascii="宋体" w:hAnsi="宋体"/>
          <w:sz w:val="24"/>
          <w:lang w:val="en-US" w:eastAsia="zh-CN"/>
        </w:rPr>
        <w:t>3组</w:t>
      </w:r>
      <w:r>
        <w:rPr>
          <w:rFonts w:hint="eastAsia" w:ascii="宋体" w:hAnsi="宋体"/>
          <w:sz w:val="24"/>
        </w:rPr>
        <w:t>异常值，有效数据为</w:t>
      </w:r>
      <w:r>
        <w:rPr>
          <w:rFonts w:hint="eastAsia" w:ascii="宋体" w:hAnsi="宋体"/>
          <w:sz w:val="24"/>
          <w:lang w:val="en-US" w:eastAsia="zh-CN"/>
        </w:rPr>
        <w:t>128</w:t>
      </w:r>
      <w:r>
        <w:rPr>
          <w:rFonts w:hint="eastAsia" w:ascii="宋体" w:hAnsi="宋体"/>
          <w:sz w:val="24"/>
        </w:rPr>
        <w:t>组。</w:t>
      </w:r>
    </w:p>
    <w:p w14:paraId="5669306B">
      <w:pPr>
        <w:spacing w:line="360" w:lineRule="auto"/>
        <w:jc w:val="center"/>
        <w:rPr>
          <w:rFonts w:hint="eastAsia" w:ascii="宋体" w:hAnsi="宋体"/>
          <w:sz w:val="24"/>
        </w:rPr>
      </w:pPr>
      <w:r>
        <w:rPr>
          <w:rFonts w:hint="eastAsia"/>
          <w:sz w:val="24"/>
        </w:rPr>
        <w:t>表</w:t>
      </w:r>
      <w:r>
        <w:rPr>
          <w:rFonts w:hint="eastAsia"/>
          <w:sz w:val="24"/>
          <w:lang w:val="en-US" w:eastAsia="zh-CN"/>
        </w:rPr>
        <w:t>8</w:t>
      </w:r>
      <w:r>
        <w:rPr>
          <w:rFonts w:hint="eastAsia" w:ascii="宋体" w:cs="宋体"/>
          <w:color w:val="000000"/>
          <w:kern w:val="0"/>
          <w:sz w:val="24"/>
        </w:rPr>
        <w:t>残炭值</w:t>
      </w:r>
      <w:r>
        <w:rPr>
          <w:rFonts w:hint="eastAsia"/>
          <w:sz w:val="24"/>
        </w:rPr>
        <w:t>重复性</w:t>
      </w:r>
      <w:r>
        <w:rPr>
          <w:sz w:val="24"/>
        </w:rPr>
        <w:t>的统计结果</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4"/>
        <w:gridCol w:w="2149"/>
        <w:gridCol w:w="2116"/>
        <w:gridCol w:w="2133"/>
      </w:tblGrid>
      <w:tr w14:paraId="4BF4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9" w:type="dxa"/>
            <w:tcBorders>
              <w:top w:val="single" w:color="auto" w:sz="4" w:space="0"/>
              <w:left w:val="single" w:color="auto" w:sz="4" w:space="0"/>
              <w:bottom w:val="single" w:color="auto" w:sz="4" w:space="0"/>
              <w:right w:val="single" w:color="auto" w:sz="4" w:space="0"/>
            </w:tcBorders>
            <w:noWrap w:val="0"/>
            <w:vAlign w:val="center"/>
          </w:tcPr>
          <w:p w14:paraId="60458E45">
            <w:pPr>
              <w:jc w:val="center"/>
              <w:rPr>
                <w:rFonts w:hint="default" w:eastAsia="宋体"/>
                <w:b/>
                <w:bCs/>
                <w:lang w:val="en-US" w:eastAsia="zh-CN"/>
              </w:rPr>
            </w:pPr>
            <w:r>
              <w:rPr>
                <w:rFonts w:hint="eastAsia"/>
                <w:b/>
                <w:bCs/>
                <w:lang w:eastAsia="zh-CN"/>
              </w:rPr>
              <w:t>残炭值</w:t>
            </w:r>
            <w:r>
              <w:rPr>
                <w:rFonts w:hint="eastAsia"/>
                <w:b/>
                <w:bCs/>
                <w:lang w:val="en-US" w:eastAsia="zh-CN"/>
              </w:rPr>
              <w:t>x/%</w:t>
            </w:r>
          </w:p>
        </w:tc>
        <w:tc>
          <w:tcPr>
            <w:tcW w:w="2179" w:type="dxa"/>
            <w:tcBorders>
              <w:top w:val="single" w:color="auto" w:sz="4" w:space="0"/>
              <w:left w:val="single" w:color="auto" w:sz="4" w:space="0"/>
              <w:bottom w:val="single" w:color="auto" w:sz="4" w:space="0"/>
              <w:right w:val="single" w:color="auto" w:sz="4" w:space="0"/>
            </w:tcBorders>
            <w:noWrap w:val="0"/>
            <w:vAlign w:val="center"/>
          </w:tcPr>
          <w:p w14:paraId="706A60C6">
            <w:pPr>
              <w:jc w:val="center"/>
              <w:rPr>
                <w:b/>
                <w:bCs/>
              </w:rPr>
            </w:pPr>
            <w:r>
              <w:rPr>
                <w:rFonts w:hint="eastAsia"/>
                <w:b/>
                <w:bCs/>
              </w:rPr>
              <w:t>重复性</w:t>
            </w:r>
            <w:r>
              <w:rPr>
                <w:b/>
                <w:bCs/>
                <w:i/>
                <w:iCs/>
              </w:rPr>
              <w:t>δ</w:t>
            </w:r>
            <w:r>
              <w:rPr>
                <w:b/>
                <w:bCs/>
                <w:vertAlign w:val="subscript"/>
              </w:rPr>
              <w:t>r</w:t>
            </w:r>
            <w:r>
              <w:rPr>
                <w:b/>
                <w:bCs/>
              </w:rPr>
              <w:t>/%</w:t>
            </w:r>
          </w:p>
        </w:tc>
        <w:tc>
          <w:tcPr>
            <w:tcW w:w="2180" w:type="dxa"/>
            <w:tcBorders>
              <w:top w:val="single" w:color="auto" w:sz="4" w:space="0"/>
              <w:left w:val="single" w:color="auto" w:sz="4" w:space="0"/>
              <w:bottom w:val="single" w:color="auto" w:sz="4" w:space="0"/>
              <w:right w:val="single" w:color="auto" w:sz="4" w:space="0"/>
            </w:tcBorders>
            <w:noWrap w:val="0"/>
            <w:vAlign w:val="center"/>
          </w:tcPr>
          <w:p w14:paraId="2951D623">
            <w:pPr>
              <w:jc w:val="center"/>
              <w:rPr>
                <w:b/>
                <w:bCs/>
              </w:rPr>
            </w:pPr>
            <w:r>
              <w:rPr>
                <w:rFonts w:hint="eastAsia"/>
                <w:b/>
                <w:bCs/>
              </w:rPr>
              <w:t>出现次数</w:t>
            </w:r>
          </w:p>
        </w:tc>
        <w:tc>
          <w:tcPr>
            <w:tcW w:w="2180" w:type="dxa"/>
            <w:tcBorders>
              <w:top w:val="single" w:color="auto" w:sz="4" w:space="0"/>
              <w:left w:val="single" w:color="auto" w:sz="4" w:space="0"/>
              <w:bottom w:val="single" w:color="auto" w:sz="4" w:space="0"/>
              <w:right w:val="single" w:color="auto" w:sz="4" w:space="0"/>
            </w:tcBorders>
            <w:noWrap w:val="0"/>
            <w:vAlign w:val="center"/>
          </w:tcPr>
          <w:p w14:paraId="73CA5F7E">
            <w:pPr>
              <w:jc w:val="center"/>
              <w:rPr>
                <w:b/>
                <w:bCs/>
              </w:rPr>
            </w:pPr>
            <w:r>
              <w:rPr>
                <w:rFonts w:hint="eastAsia"/>
                <w:b/>
                <w:bCs/>
              </w:rPr>
              <w:t>出现概率</w:t>
            </w:r>
          </w:p>
        </w:tc>
      </w:tr>
      <w:tr w14:paraId="31E4F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9" w:type="dxa"/>
            <w:vMerge w:val="restart"/>
            <w:tcBorders>
              <w:top w:val="single" w:color="auto" w:sz="4" w:space="0"/>
              <w:left w:val="single" w:color="auto" w:sz="4" w:space="0"/>
              <w:right w:val="single" w:color="auto" w:sz="4" w:space="0"/>
            </w:tcBorders>
            <w:noWrap w:val="0"/>
            <w:vAlign w:val="center"/>
          </w:tcPr>
          <w:p w14:paraId="081AFE5A">
            <w:pPr>
              <w:jc w:val="center"/>
              <w:rPr>
                <w:rFonts w:hint="default" w:eastAsia="宋体"/>
                <w:b/>
                <w:bCs/>
                <w:lang w:val="en-US" w:eastAsia="zh-CN"/>
              </w:rPr>
            </w:pPr>
            <w:r>
              <w:rPr>
                <w:rFonts w:hint="eastAsia"/>
                <w:b/>
                <w:bCs/>
                <w:lang w:val="en-US" w:eastAsia="zh-CN"/>
              </w:rPr>
              <w:t>x</w:t>
            </w:r>
            <w:r>
              <w:rPr>
                <w:rFonts w:hint="eastAsia"/>
                <w:b/>
                <w:bCs/>
                <w:lang w:eastAsia="zh-CN"/>
              </w:rPr>
              <w:t>≥</w:t>
            </w:r>
            <w:r>
              <w:rPr>
                <w:rFonts w:hint="eastAsia"/>
                <w:b/>
                <w:bCs/>
                <w:lang w:val="en-US" w:eastAsia="zh-CN"/>
              </w:rPr>
              <w:t>5%</w:t>
            </w:r>
          </w:p>
        </w:tc>
        <w:tc>
          <w:tcPr>
            <w:tcW w:w="2179" w:type="dxa"/>
            <w:tcBorders>
              <w:top w:val="single" w:color="auto" w:sz="4" w:space="0"/>
              <w:left w:val="single" w:color="auto" w:sz="4" w:space="0"/>
              <w:bottom w:val="single" w:color="auto" w:sz="4" w:space="0"/>
              <w:right w:val="single" w:color="auto" w:sz="4" w:space="0"/>
            </w:tcBorders>
            <w:noWrap w:val="0"/>
            <w:vAlign w:val="center"/>
          </w:tcPr>
          <w:p w14:paraId="29CAAAB0">
            <w:pPr>
              <w:jc w:val="center"/>
              <w:rPr>
                <w:rFonts w:hint="default" w:eastAsia="宋体"/>
                <w:b/>
                <w:bCs/>
                <w:lang w:val="en-US" w:eastAsia="zh-CN"/>
              </w:rPr>
            </w:pPr>
            <w:r>
              <w:rPr>
                <w:b/>
                <w:bCs/>
                <w:i/>
                <w:iCs/>
              </w:rPr>
              <w:t>δ</w:t>
            </w:r>
            <w:r>
              <w:rPr>
                <w:b/>
                <w:bCs/>
                <w:vertAlign w:val="subscript"/>
              </w:rPr>
              <w:t>r</w:t>
            </w:r>
            <w:r>
              <w:rPr>
                <w:b/>
                <w:bCs/>
              </w:rPr>
              <w:t>≤</w:t>
            </w:r>
            <w:r>
              <w:rPr>
                <w:rFonts w:hint="eastAsia"/>
                <w:b/>
                <w:bCs/>
                <w:lang w:val="en-US" w:eastAsia="zh-CN"/>
              </w:rPr>
              <w:t>0.5</w:t>
            </w:r>
          </w:p>
        </w:tc>
        <w:tc>
          <w:tcPr>
            <w:tcW w:w="2180" w:type="dxa"/>
            <w:tcBorders>
              <w:top w:val="single" w:color="auto" w:sz="4" w:space="0"/>
              <w:left w:val="single" w:color="auto" w:sz="4" w:space="0"/>
              <w:bottom w:val="single" w:color="auto" w:sz="4" w:space="0"/>
              <w:right w:val="single" w:color="auto" w:sz="4" w:space="0"/>
            </w:tcBorders>
            <w:noWrap w:val="0"/>
            <w:vAlign w:val="center"/>
          </w:tcPr>
          <w:p w14:paraId="102D186C">
            <w:pPr>
              <w:jc w:val="center"/>
              <w:rPr>
                <w:rFonts w:hint="default"/>
                <w:b/>
                <w:bCs/>
                <w:i w:val="0"/>
                <w:iCs w:val="0"/>
                <w:lang w:val="en-US" w:eastAsia="zh-CN"/>
              </w:rPr>
            </w:pPr>
            <w:r>
              <w:rPr>
                <w:rFonts w:hint="eastAsia"/>
                <w:b/>
                <w:bCs/>
                <w:i w:val="0"/>
                <w:iCs w:val="0"/>
                <w:lang w:val="en-US" w:eastAsia="zh-CN"/>
              </w:rPr>
              <w:t>42</w:t>
            </w:r>
          </w:p>
        </w:tc>
        <w:tc>
          <w:tcPr>
            <w:tcW w:w="2180" w:type="dxa"/>
            <w:tcBorders>
              <w:top w:val="single" w:color="auto" w:sz="4" w:space="0"/>
              <w:left w:val="single" w:color="auto" w:sz="4" w:space="0"/>
              <w:bottom w:val="single" w:color="auto" w:sz="4" w:space="0"/>
              <w:right w:val="single" w:color="auto" w:sz="4" w:space="0"/>
            </w:tcBorders>
            <w:noWrap w:val="0"/>
            <w:vAlign w:val="center"/>
          </w:tcPr>
          <w:p w14:paraId="0D7B5FD0">
            <w:pPr>
              <w:jc w:val="center"/>
              <w:rPr>
                <w:rFonts w:hint="default"/>
                <w:b/>
                <w:bCs/>
                <w:i w:val="0"/>
                <w:iCs w:val="0"/>
                <w:lang w:val="en-US" w:eastAsia="zh-CN"/>
              </w:rPr>
            </w:pPr>
            <w:r>
              <w:rPr>
                <w:rFonts w:hint="eastAsia"/>
                <w:b/>
                <w:bCs/>
                <w:i w:val="0"/>
                <w:iCs w:val="0"/>
                <w:lang w:val="en-US" w:eastAsia="zh-CN"/>
              </w:rPr>
              <w:t>72.41%</w:t>
            </w:r>
          </w:p>
        </w:tc>
      </w:tr>
      <w:tr w14:paraId="3375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9" w:type="dxa"/>
            <w:vMerge w:val="continue"/>
            <w:tcBorders>
              <w:left w:val="single" w:color="auto" w:sz="4" w:space="0"/>
              <w:right w:val="single" w:color="auto" w:sz="4" w:space="0"/>
            </w:tcBorders>
            <w:noWrap w:val="0"/>
            <w:vAlign w:val="center"/>
          </w:tcPr>
          <w:p w14:paraId="782398BA">
            <w:pPr>
              <w:jc w:val="center"/>
              <w:rPr>
                <w:b/>
                <w:bCs/>
              </w:rPr>
            </w:pPr>
          </w:p>
        </w:tc>
        <w:tc>
          <w:tcPr>
            <w:tcW w:w="2179" w:type="dxa"/>
            <w:tcBorders>
              <w:top w:val="single" w:color="auto" w:sz="4" w:space="0"/>
              <w:left w:val="single" w:color="auto" w:sz="4" w:space="0"/>
              <w:bottom w:val="single" w:color="auto" w:sz="4" w:space="0"/>
              <w:right w:val="single" w:color="auto" w:sz="4" w:space="0"/>
            </w:tcBorders>
            <w:noWrap w:val="0"/>
            <w:vAlign w:val="center"/>
          </w:tcPr>
          <w:p w14:paraId="0EB5D3CB">
            <w:pPr>
              <w:jc w:val="center"/>
              <w:rPr>
                <w:rFonts w:hint="default" w:eastAsia="宋体"/>
                <w:b/>
                <w:bCs/>
                <w:lang w:val="en-US" w:eastAsia="zh-CN"/>
              </w:rPr>
            </w:pPr>
            <w:r>
              <w:rPr>
                <w:rFonts w:hint="eastAsia"/>
                <w:b/>
                <w:bCs/>
                <w:lang w:val="en-US" w:eastAsia="zh-CN"/>
              </w:rPr>
              <w:t>0.5</w:t>
            </w:r>
            <w:r>
              <w:rPr>
                <w:rFonts w:hint="eastAsia"/>
                <w:b/>
                <w:bCs/>
              </w:rPr>
              <w:t>&lt;</w:t>
            </w:r>
            <w:r>
              <w:rPr>
                <w:b/>
                <w:bCs/>
                <w:i/>
                <w:iCs/>
              </w:rPr>
              <w:t>δ</w:t>
            </w:r>
            <w:r>
              <w:rPr>
                <w:b/>
                <w:bCs/>
                <w:vertAlign w:val="subscript"/>
              </w:rPr>
              <w:t>r</w:t>
            </w:r>
            <w:r>
              <w:rPr>
                <w:b/>
                <w:bCs/>
              </w:rPr>
              <w:t>≤</w:t>
            </w:r>
            <w:r>
              <w:rPr>
                <w:rFonts w:hint="eastAsia"/>
                <w:b/>
                <w:bCs/>
                <w:lang w:val="en-US" w:eastAsia="zh-CN"/>
              </w:rPr>
              <w:t>1.0</w:t>
            </w:r>
          </w:p>
        </w:tc>
        <w:tc>
          <w:tcPr>
            <w:tcW w:w="2180" w:type="dxa"/>
            <w:tcBorders>
              <w:top w:val="single" w:color="auto" w:sz="4" w:space="0"/>
              <w:left w:val="single" w:color="auto" w:sz="4" w:space="0"/>
              <w:bottom w:val="single" w:color="auto" w:sz="4" w:space="0"/>
              <w:right w:val="single" w:color="auto" w:sz="4" w:space="0"/>
            </w:tcBorders>
            <w:noWrap w:val="0"/>
            <w:vAlign w:val="center"/>
          </w:tcPr>
          <w:p w14:paraId="4A2D3189">
            <w:pPr>
              <w:jc w:val="center"/>
              <w:rPr>
                <w:rFonts w:hint="default"/>
                <w:b/>
                <w:bCs/>
                <w:i w:val="0"/>
                <w:iCs w:val="0"/>
                <w:lang w:val="en-US" w:eastAsia="zh-CN"/>
              </w:rPr>
            </w:pPr>
            <w:r>
              <w:rPr>
                <w:rFonts w:hint="eastAsia"/>
                <w:b/>
                <w:bCs/>
                <w:i w:val="0"/>
                <w:iCs w:val="0"/>
                <w:lang w:val="en-US" w:eastAsia="zh-CN"/>
              </w:rPr>
              <w:t>55</w:t>
            </w:r>
          </w:p>
        </w:tc>
        <w:tc>
          <w:tcPr>
            <w:tcW w:w="2180" w:type="dxa"/>
            <w:tcBorders>
              <w:top w:val="single" w:color="auto" w:sz="4" w:space="0"/>
              <w:left w:val="single" w:color="auto" w:sz="4" w:space="0"/>
              <w:bottom w:val="single" w:color="auto" w:sz="4" w:space="0"/>
              <w:right w:val="single" w:color="auto" w:sz="4" w:space="0"/>
            </w:tcBorders>
            <w:noWrap w:val="0"/>
            <w:vAlign w:val="center"/>
          </w:tcPr>
          <w:p w14:paraId="4D733C72">
            <w:pPr>
              <w:jc w:val="center"/>
              <w:rPr>
                <w:rFonts w:hint="default"/>
                <w:b/>
                <w:bCs/>
                <w:i w:val="0"/>
                <w:iCs w:val="0"/>
                <w:lang w:val="en-US" w:eastAsia="zh-CN"/>
              </w:rPr>
            </w:pPr>
            <w:r>
              <w:rPr>
                <w:rFonts w:hint="eastAsia"/>
                <w:b/>
                <w:bCs/>
                <w:i w:val="0"/>
                <w:iCs w:val="0"/>
                <w:lang w:val="en-US" w:eastAsia="zh-CN"/>
              </w:rPr>
              <w:t>94.83%</w:t>
            </w:r>
          </w:p>
        </w:tc>
      </w:tr>
      <w:tr w14:paraId="6FBE8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9" w:type="dxa"/>
            <w:vMerge w:val="continue"/>
            <w:tcBorders>
              <w:left w:val="single" w:color="auto" w:sz="4" w:space="0"/>
              <w:right w:val="single" w:color="auto" w:sz="4" w:space="0"/>
            </w:tcBorders>
            <w:noWrap w:val="0"/>
            <w:vAlign w:val="center"/>
          </w:tcPr>
          <w:p w14:paraId="7074B3CB">
            <w:pPr>
              <w:jc w:val="center"/>
              <w:rPr>
                <w:b/>
                <w:bCs/>
              </w:rPr>
            </w:pPr>
          </w:p>
        </w:tc>
        <w:tc>
          <w:tcPr>
            <w:tcW w:w="2179" w:type="dxa"/>
            <w:tcBorders>
              <w:top w:val="single" w:color="auto" w:sz="4" w:space="0"/>
              <w:left w:val="single" w:color="auto" w:sz="4" w:space="0"/>
              <w:bottom w:val="single" w:color="auto" w:sz="4" w:space="0"/>
              <w:right w:val="single" w:color="auto" w:sz="4" w:space="0"/>
            </w:tcBorders>
            <w:noWrap w:val="0"/>
            <w:vAlign w:val="center"/>
          </w:tcPr>
          <w:p w14:paraId="09930E2C">
            <w:pPr>
              <w:jc w:val="center"/>
              <w:rPr>
                <w:rFonts w:hint="default" w:eastAsia="宋体"/>
                <w:b/>
                <w:bCs/>
                <w:lang w:val="en-US" w:eastAsia="zh-CN"/>
              </w:rPr>
            </w:pPr>
            <w:r>
              <w:rPr>
                <w:rFonts w:hint="eastAsia"/>
                <w:b/>
                <w:bCs/>
                <w:lang w:val="en-US" w:eastAsia="zh-CN"/>
              </w:rPr>
              <w:t>1.0</w:t>
            </w:r>
            <w:r>
              <w:rPr>
                <w:rFonts w:hint="eastAsia"/>
                <w:b/>
                <w:bCs/>
              </w:rPr>
              <w:t>&lt;</w:t>
            </w:r>
            <w:r>
              <w:rPr>
                <w:b/>
                <w:bCs/>
                <w:i/>
                <w:iCs/>
              </w:rPr>
              <w:t>δ</w:t>
            </w:r>
            <w:r>
              <w:rPr>
                <w:b/>
                <w:bCs/>
                <w:vertAlign w:val="subscript"/>
              </w:rPr>
              <w:t>r</w:t>
            </w:r>
            <w:r>
              <w:rPr>
                <w:b/>
                <w:bCs/>
              </w:rPr>
              <w:t>≤</w:t>
            </w:r>
            <w:r>
              <w:rPr>
                <w:rFonts w:hint="eastAsia"/>
                <w:b/>
                <w:bCs/>
                <w:lang w:val="en-US" w:eastAsia="zh-CN"/>
              </w:rPr>
              <w:t>1.5</w:t>
            </w:r>
          </w:p>
        </w:tc>
        <w:tc>
          <w:tcPr>
            <w:tcW w:w="2180" w:type="dxa"/>
            <w:tcBorders>
              <w:top w:val="single" w:color="auto" w:sz="4" w:space="0"/>
              <w:left w:val="single" w:color="auto" w:sz="4" w:space="0"/>
              <w:bottom w:val="single" w:color="auto" w:sz="4" w:space="0"/>
              <w:right w:val="single" w:color="auto" w:sz="4" w:space="0"/>
            </w:tcBorders>
            <w:noWrap w:val="0"/>
            <w:vAlign w:val="center"/>
          </w:tcPr>
          <w:p w14:paraId="44F9AFE5">
            <w:pPr>
              <w:jc w:val="center"/>
              <w:rPr>
                <w:rFonts w:hint="default"/>
                <w:b/>
                <w:bCs/>
                <w:i w:val="0"/>
                <w:iCs w:val="0"/>
                <w:lang w:val="en-US" w:eastAsia="zh-CN"/>
              </w:rPr>
            </w:pPr>
            <w:r>
              <w:rPr>
                <w:rFonts w:hint="eastAsia"/>
                <w:b/>
                <w:bCs/>
                <w:i w:val="0"/>
                <w:iCs w:val="0"/>
                <w:lang w:val="en-US" w:eastAsia="zh-CN"/>
              </w:rPr>
              <w:t>57</w:t>
            </w:r>
          </w:p>
        </w:tc>
        <w:tc>
          <w:tcPr>
            <w:tcW w:w="2180" w:type="dxa"/>
            <w:tcBorders>
              <w:top w:val="single" w:color="auto" w:sz="4" w:space="0"/>
              <w:left w:val="single" w:color="auto" w:sz="4" w:space="0"/>
              <w:bottom w:val="single" w:color="auto" w:sz="4" w:space="0"/>
              <w:right w:val="single" w:color="auto" w:sz="4" w:space="0"/>
            </w:tcBorders>
            <w:noWrap w:val="0"/>
            <w:vAlign w:val="center"/>
          </w:tcPr>
          <w:p w14:paraId="04BE76E1">
            <w:pPr>
              <w:jc w:val="center"/>
              <w:rPr>
                <w:rFonts w:hint="default"/>
                <w:b/>
                <w:bCs/>
                <w:i w:val="0"/>
                <w:iCs w:val="0"/>
                <w:lang w:val="en-US" w:eastAsia="zh-CN"/>
              </w:rPr>
            </w:pPr>
            <w:r>
              <w:rPr>
                <w:rFonts w:hint="eastAsia"/>
                <w:b/>
                <w:bCs/>
                <w:i w:val="0"/>
                <w:iCs w:val="0"/>
                <w:lang w:val="en-US" w:eastAsia="zh-CN"/>
              </w:rPr>
              <w:t>98.28%</w:t>
            </w:r>
          </w:p>
        </w:tc>
      </w:tr>
      <w:tr w14:paraId="74AB2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9" w:type="dxa"/>
            <w:vMerge w:val="continue"/>
            <w:tcBorders>
              <w:left w:val="single" w:color="auto" w:sz="4" w:space="0"/>
              <w:right w:val="single" w:color="auto" w:sz="4" w:space="0"/>
            </w:tcBorders>
            <w:noWrap w:val="0"/>
            <w:vAlign w:val="center"/>
          </w:tcPr>
          <w:p w14:paraId="745BB347">
            <w:pPr>
              <w:jc w:val="center"/>
              <w:rPr>
                <w:b/>
                <w:bCs/>
              </w:rPr>
            </w:pPr>
          </w:p>
        </w:tc>
        <w:tc>
          <w:tcPr>
            <w:tcW w:w="2179" w:type="dxa"/>
            <w:tcBorders>
              <w:top w:val="single" w:color="auto" w:sz="4" w:space="0"/>
              <w:left w:val="single" w:color="auto" w:sz="4" w:space="0"/>
              <w:bottom w:val="single" w:color="auto" w:sz="4" w:space="0"/>
              <w:right w:val="single" w:color="auto" w:sz="4" w:space="0"/>
            </w:tcBorders>
            <w:noWrap w:val="0"/>
            <w:vAlign w:val="center"/>
          </w:tcPr>
          <w:p w14:paraId="0E9427A7">
            <w:pPr>
              <w:jc w:val="center"/>
              <w:rPr>
                <w:rFonts w:hint="default"/>
                <w:b/>
                <w:bCs/>
                <w:lang w:val="en-US"/>
              </w:rPr>
            </w:pPr>
            <w:r>
              <w:rPr>
                <w:b/>
                <w:bCs/>
                <w:i/>
                <w:iCs/>
              </w:rPr>
              <w:t>δ</w:t>
            </w:r>
            <w:r>
              <w:rPr>
                <w:b/>
                <w:bCs/>
                <w:vertAlign w:val="subscript"/>
              </w:rPr>
              <w:t>r</w:t>
            </w:r>
            <w:r>
              <w:rPr>
                <w:b/>
                <w:bCs/>
              </w:rPr>
              <w:t>&gt;</w:t>
            </w:r>
            <w:r>
              <w:rPr>
                <w:rFonts w:hint="eastAsia"/>
                <w:b/>
                <w:bCs/>
                <w:lang w:val="en-US" w:eastAsia="zh-CN"/>
              </w:rPr>
              <w:t>1.5</w:t>
            </w:r>
          </w:p>
        </w:tc>
        <w:tc>
          <w:tcPr>
            <w:tcW w:w="2180" w:type="dxa"/>
            <w:tcBorders>
              <w:top w:val="single" w:color="auto" w:sz="4" w:space="0"/>
              <w:left w:val="single" w:color="auto" w:sz="4" w:space="0"/>
              <w:bottom w:val="single" w:color="auto" w:sz="4" w:space="0"/>
              <w:right w:val="single" w:color="auto" w:sz="4" w:space="0"/>
            </w:tcBorders>
            <w:noWrap w:val="0"/>
            <w:vAlign w:val="center"/>
          </w:tcPr>
          <w:p w14:paraId="3BC0D685">
            <w:pPr>
              <w:jc w:val="center"/>
              <w:rPr>
                <w:rFonts w:hint="default"/>
                <w:b/>
                <w:bCs/>
                <w:i w:val="0"/>
                <w:iCs w:val="0"/>
                <w:lang w:val="en-US" w:eastAsia="zh-CN"/>
              </w:rPr>
            </w:pPr>
            <w:r>
              <w:rPr>
                <w:rFonts w:hint="eastAsia"/>
                <w:b/>
                <w:bCs/>
                <w:i w:val="0"/>
                <w:iCs w:val="0"/>
                <w:lang w:val="en-US" w:eastAsia="zh-CN"/>
              </w:rPr>
              <w:t>58</w:t>
            </w:r>
          </w:p>
        </w:tc>
        <w:tc>
          <w:tcPr>
            <w:tcW w:w="2180" w:type="dxa"/>
            <w:tcBorders>
              <w:top w:val="single" w:color="auto" w:sz="4" w:space="0"/>
              <w:left w:val="single" w:color="auto" w:sz="4" w:space="0"/>
              <w:bottom w:val="single" w:color="auto" w:sz="4" w:space="0"/>
              <w:right w:val="single" w:color="auto" w:sz="4" w:space="0"/>
            </w:tcBorders>
            <w:noWrap w:val="0"/>
            <w:vAlign w:val="center"/>
          </w:tcPr>
          <w:p w14:paraId="553F915D">
            <w:pPr>
              <w:jc w:val="center"/>
              <w:rPr>
                <w:rFonts w:hint="default"/>
                <w:b/>
                <w:bCs/>
                <w:i w:val="0"/>
                <w:iCs w:val="0"/>
                <w:lang w:val="en-US" w:eastAsia="zh-CN"/>
              </w:rPr>
            </w:pPr>
            <w:r>
              <w:rPr>
                <w:rFonts w:hint="eastAsia"/>
                <w:b/>
                <w:bCs/>
                <w:i w:val="0"/>
                <w:iCs w:val="0"/>
                <w:lang w:val="en-US" w:eastAsia="zh-CN"/>
              </w:rPr>
              <w:t>100%</w:t>
            </w:r>
          </w:p>
        </w:tc>
      </w:tr>
      <w:tr w14:paraId="5C411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9" w:type="dxa"/>
            <w:vMerge w:val="restart"/>
            <w:tcBorders>
              <w:left w:val="single" w:color="auto" w:sz="4" w:space="0"/>
              <w:right w:val="single" w:color="auto" w:sz="4" w:space="0"/>
            </w:tcBorders>
            <w:noWrap w:val="0"/>
            <w:vAlign w:val="center"/>
          </w:tcPr>
          <w:p w14:paraId="1AF52825">
            <w:pPr>
              <w:jc w:val="center"/>
              <w:rPr>
                <w:rFonts w:hint="default" w:eastAsia="宋体"/>
                <w:b/>
                <w:bCs/>
                <w:lang w:val="en-US" w:eastAsia="zh-CN"/>
              </w:rPr>
            </w:pPr>
            <w:r>
              <w:rPr>
                <w:rFonts w:hint="eastAsia"/>
                <w:b/>
                <w:bCs/>
                <w:lang w:val="en-US" w:eastAsia="zh-CN"/>
              </w:rPr>
              <w:t>0.2%</w:t>
            </w:r>
            <w:r>
              <w:rPr>
                <w:rFonts w:hint="eastAsia"/>
                <w:b/>
                <w:bCs/>
                <w:lang w:eastAsia="zh-CN"/>
              </w:rPr>
              <w:t>＜</w:t>
            </w:r>
            <w:r>
              <w:rPr>
                <w:rFonts w:hint="eastAsia"/>
                <w:b/>
                <w:bCs/>
                <w:lang w:val="en-US" w:eastAsia="zh-CN"/>
              </w:rPr>
              <w:t>x</w:t>
            </w:r>
            <w:r>
              <w:rPr>
                <w:rFonts w:hint="eastAsia"/>
                <w:b/>
                <w:bCs/>
                <w:lang w:eastAsia="zh-CN"/>
              </w:rPr>
              <w:t>＜</w:t>
            </w:r>
            <w:r>
              <w:rPr>
                <w:rFonts w:hint="eastAsia"/>
                <w:b/>
                <w:bCs/>
                <w:lang w:val="en-US" w:eastAsia="zh-CN"/>
              </w:rPr>
              <w:t>5%</w:t>
            </w:r>
          </w:p>
        </w:tc>
        <w:tc>
          <w:tcPr>
            <w:tcW w:w="2179" w:type="dxa"/>
            <w:tcBorders>
              <w:top w:val="single" w:color="auto" w:sz="4" w:space="0"/>
              <w:left w:val="single" w:color="auto" w:sz="4" w:space="0"/>
              <w:bottom w:val="single" w:color="auto" w:sz="4" w:space="0"/>
              <w:right w:val="single" w:color="auto" w:sz="4" w:space="0"/>
            </w:tcBorders>
            <w:noWrap w:val="0"/>
            <w:vAlign w:val="center"/>
          </w:tcPr>
          <w:p w14:paraId="69DFA670">
            <w:pPr>
              <w:jc w:val="center"/>
              <w:rPr>
                <w:rFonts w:hint="default" w:eastAsia="宋体"/>
                <w:b/>
                <w:bCs/>
                <w:kern w:val="2"/>
                <w:sz w:val="21"/>
                <w:szCs w:val="24"/>
                <w:lang w:val="en-US" w:eastAsia="zh-CN" w:bidi="ar-SA"/>
              </w:rPr>
            </w:pPr>
            <w:r>
              <w:rPr>
                <w:b/>
                <w:bCs/>
                <w:i/>
                <w:iCs/>
              </w:rPr>
              <w:t>δ</w:t>
            </w:r>
            <w:r>
              <w:rPr>
                <w:b/>
                <w:bCs/>
                <w:vertAlign w:val="subscript"/>
              </w:rPr>
              <w:t>r</w:t>
            </w:r>
            <w:r>
              <w:rPr>
                <w:b/>
                <w:bCs/>
              </w:rPr>
              <w:t>≤</w:t>
            </w:r>
            <w:r>
              <w:rPr>
                <w:rFonts w:hint="eastAsia"/>
                <w:b/>
                <w:bCs/>
                <w:lang w:val="en-US" w:eastAsia="zh-CN"/>
              </w:rPr>
              <w:t>0.10</w:t>
            </w:r>
          </w:p>
        </w:tc>
        <w:tc>
          <w:tcPr>
            <w:tcW w:w="2180" w:type="dxa"/>
            <w:tcBorders>
              <w:top w:val="single" w:color="auto" w:sz="4" w:space="0"/>
              <w:left w:val="single" w:color="auto" w:sz="4" w:space="0"/>
              <w:bottom w:val="single" w:color="auto" w:sz="4" w:space="0"/>
              <w:right w:val="single" w:color="auto" w:sz="4" w:space="0"/>
            </w:tcBorders>
            <w:noWrap w:val="0"/>
            <w:vAlign w:val="center"/>
          </w:tcPr>
          <w:p w14:paraId="44D02310">
            <w:pPr>
              <w:jc w:val="center"/>
              <w:rPr>
                <w:rFonts w:hint="default"/>
                <w:b/>
                <w:bCs/>
                <w:i w:val="0"/>
                <w:iCs w:val="0"/>
                <w:lang w:val="en-US" w:eastAsia="zh-CN"/>
              </w:rPr>
            </w:pPr>
            <w:r>
              <w:rPr>
                <w:rFonts w:hint="eastAsia"/>
                <w:b/>
                <w:bCs/>
                <w:i w:val="0"/>
                <w:iCs w:val="0"/>
                <w:lang w:val="en-US" w:eastAsia="zh-CN"/>
              </w:rPr>
              <w:t>40</w:t>
            </w:r>
          </w:p>
        </w:tc>
        <w:tc>
          <w:tcPr>
            <w:tcW w:w="2180" w:type="dxa"/>
            <w:tcBorders>
              <w:top w:val="single" w:color="auto" w:sz="4" w:space="0"/>
              <w:left w:val="single" w:color="auto" w:sz="4" w:space="0"/>
              <w:bottom w:val="single" w:color="auto" w:sz="4" w:space="0"/>
              <w:right w:val="single" w:color="auto" w:sz="4" w:space="0"/>
            </w:tcBorders>
            <w:noWrap w:val="0"/>
            <w:vAlign w:val="center"/>
          </w:tcPr>
          <w:p w14:paraId="3BE1297D">
            <w:pPr>
              <w:jc w:val="center"/>
              <w:rPr>
                <w:rFonts w:hint="default"/>
                <w:b/>
                <w:bCs/>
                <w:i w:val="0"/>
                <w:iCs w:val="0"/>
                <w:lang w:val="en-US" w:eastAsia="zh-CN"/>
              </w:rPr>
            </w:pPr>
            <w:r>
              <w:rPr>
                <w:rFonts w:hint="eastAsia"/>
                <w:b/>
                <w:bCs/>
                <w:i w:val="0"/>
                <w:iCs w:val="0"/>
                <w:lang w:val="en-US" w:eastAsia="zh-CN"/>
              </w:rPr>
              <w:t>83.33%</w:t>
            </w:r>
          </w:p>
        </w:tc>
      </w:tr>
      <w:tr w14:paraId="74708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9" w:type="dxa"/>
            <w:vMerge w:val="continue"/>
            <w:tcBorders>
              <w:left w:val="single" w:color="auto" w:sz="4" w:space="0"/>
              <w:right w:val="single" w:color="auto" w:sz="4" w:space="0"/>
            </w:tcBorders>
            <w:noWrap w:val="0"/>
            <w:vAlign w:val="center"/>
          </w:tcPr>
          <w:p w14:paraId="41A9322A">
            <w:pPr>
              <w:jc w:val="center"/>
              <w:rPr>
                <w:rFonts w:hint="eastAsia"/>
                <w:b/>
                <w:bCs/>
                <w:lang w:val="en-US" w:eastAsia="zh-CN"/>
              </w:rPr>
            </w:pPr>
          </w:p>
        </w:tc>
        <w:tc>
          <w:tcPr>
            <w:tcW w:w="2179" w:type="dxa"/>
            <w:tcBorders>
              <w:top w:val="single" w:color="auto" w:sz="4" w:space="0"/>
              <w:left w:val="single" w:color="auto" w:sz="4" w:space="0"/>
              <w:bottom w:val="single" w:color="auto" w:sz="4" w:space="0"/>
              <w:right w:val="single" w:color="auto" w:sz="4" w:space="0"/>
            </w:tcBorders>
            <w:noWrap w:val="0"/>
            <w:vAlign w:val="center"/>
          </w:tcPr>
          <w:p w14:paraId="22EA2D81">
            <w:pPr>
              <w:jc w:val="center"/>
              <w:rPr>
                <w:rFonts w:hint="default" w:eastAsia="宋体"/>
                <w:b/>
                <w:bCs/>
                <w:kern w:val="2"/>
                <w:sz w:val="21"/>
                <w:szCs w:val="24"/>
                <w:lang w:val="en-US" w:eastAsia="zh-CN" w:bidi="ar-SA"/>
              </w:rPr>
            </w:pPr>
            <w:r>
              <w:rPr>
                <w:rFonts w:hint="eastAsia"/>
                <w:b/>
                <w:bCs/>
                <w:lang w:val="en-US" w:eastAsia="zh-CN"/>
              </w:rPr>
              <w:t>0.10</w:t>
            </w:r>
            <w:r>
              <w:rPr>
                <w:rFonts w:hint="eastAsia"/>
                <w:b/>
                <w:bCs/>
              </w:rPr>
              <w:t>&lt;</w:t>
            </w:r>
            <w:r>
              <w:rPr>
                <w:b/>
                <w:bCs/>
                <w:i/>
                <w:iCs/>
              </w:rPr>
              <w:t>δ</w:t>
            </w:r>
            <w:r>
              <w:rPr>
                <w:b/>
                <w:bCs/>
                <w:vertAlign w:val="subscript"/>
              </w:rPr>
              <w:t>r</w:t>
            </w:r>
            <w:r>
              <w:rPr>
                <w:b/>
                <w:bCs/>
              </w:rPr>
              <w:t>≤</w:t>
            </w:r>
            <w:r>
              <w:rPr>
                <w:rFonts w:hint="eastAsia"/>
                <w:b/>
                <w:bCs/>
                <w:lang w:val="en-US" w:eastAsia="zh-CN"/>
              </w:rPr>
              <w:t>0.15</w:t>
            </w:r>
          </w:p>
        </w:tc>
        <w:tc>
          <w:tcPr>
            <w:tcW w:w="2180" w:type="dxa"/>
            <w:tcBorders>
              <w:top w:val="single" w:color="auto" w:sz="4" w:space="0"/>
              <w:left w:val="single" w:color="auto" w:sz="4" w:space="0"/>
              <w:bottom w:val="single" w:color="auto" w:sz="4" w:space="0"/>
              <w:right w:val="single" w:color="auto" w:sz="4" w:space="0"/>
            </w:tcBorders>
            <w:noWrap w:val="0"/>
            <w:vAlign w:val="center"/>
          </w:tcPr>
          <w:p w14:paraId="4FB8F4C0">
            <w:pPr>
              <w:jc w:val="center"/>
              <w:rPr>
                <w:rFonts w:hint="default"/>
                <w:b/>
                <w:bCs/>
                <w:i w:val="0"/>
                <w:iCs w:val="0"/>
                <w:lang w:val="en-US" w:eastAsia="zh-CN"/>
              </w:rPr>
            </w:pPr>
            <w:r>
              <w:rPr>
                <w:rFonts w:hint="eastAsia"/>
                <w:b/>
                <w:bCs/>
                <w:i w:val="0"/>
                <w:iCs w:val="0"/>
                <w:lang w:val="en-US" w:eastAsia="zh-CN"/>
              </w:rPr>
              <w:t>42</w:t>
            </w:r>
          </w:p>
        </w:tc>
        <w:tc>
          <w:tcPr>
            <w:tcW w:w="2180" w:type="dxa"/>
            <w:tcBorders>
              <w:top w:val="single" w:color="auto" w:sz="4" w:space="0"/>
              <w:left w:val="single" w:color="auto" w:sz="4" w:space="0"/>
              <w:bottom w:val="single" w:color="auto" w:sz="4" w:space="0"/>
              <w:right w:val="single" w:color="auto" w:sz="4" w:space="0"/>
            </w:tcBorders>
            <w:noWrap w:val="0"/>
            <w:vAlign w:val="center"/>
          </w:tcPr>
          <w:p w14:paraId="58D11DC4">
            <w:pPr>
              <w:jc w:val="center"/>
              <w:rPr>
                <w:rFonts w:hint="default"/>
                <w:b/>
                <w:bCs/>
                <w:i w:val="0"/>
                <w:iCs w:val="0"/>
                <w:lang w:val="en-US" w:eastAsia="zh-CN"/>
              </w:rPr>
            </w:pPr>
            <w:r>
              <w:rPr>
                <w:rFonts w:hint="eastAsia"/>
                <w:b/>
                <w:bCs/>
                <w:i w:val="0"/>
                <w:iCs w:val="0"/>
                <w:lang w:val="en-US" w:eastAsia="zh-CN"/>
              </w:rPr>
              <w:t>87.5%</w:t>
            </w:r>
          </w:p>
        </w:tc>
      </w:tr>
      <w:tr w14:paraId="4C45F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9" w:type="dxa"/>
            <w:vMerge w:val="continue"/>
            <w:tcBorders>
              <w:left w:val="single" w:color="auto" w:sz="4" w:space="0"/>
              <w:right w:val="single" w:color="auto" w:sz="4" w:space="0"/>
            </w:tcBorders>
            <w:noWrap w:val="0"/>
            <w:vAlign w:val="center"/>
          </w:tcPr>
          <w:p w14:paraId="431A8174">
            <w:pPr>
              <w:jc w:val="center"/>
              <w:rPr>
                <w:rFonts w:hint="default" w:eastAsia="宋体"/>
                <w:b/>
                <w:bCs/>
                <w:lang w:val="en-US" w:eastAsia="zh-CN"/>
              </w:rPr>
            </w:pPr>
          </w:p>
        </w:tc>
        <w:tc>
          <w:tcPr>
            <w:tcW w:w="2179" w:type="dxa"/>
            <w:tcBorders>
              <w:top w:val="single" w:color="auto" w:sz="4" w:space="0"/>
              <w:left w:val="single" w:color="auto" w:sz="4" w:space="0"/>
              <w:bottom w:val="single" w:color="auto" w:sz="4" w:space="0"/>
              <w:right w:val="single" w:color="auto" w:sz="4" w:space="0"/>
            </w:tcBorders>
            <w:noWrap w:val="0"/>
            <w:vAlign w:val="center"/>
          </w:tcPr>
          <w:p w14:paraId="693B511D">
            <w:pPr>
              <w:jc w:val="center"/>
              <w:rPr>
                <w:rFonts w:hint="default" w:eastAsia="宋体"/>
                <w:b/>
                <w:bCs/>
                <w:kern w:val="2"/>
                <w:sz w:val="21"/>
                <w:szCs w:val="24"/>
                <w:lang w:val="en-US" w:eastAsia="zh-CN" w:bidi="ar-SA"/>
              </w:rPr>
            </w:pPr>
            <w:r>
              <w:rPr>
                <w:rFonts w:hint="eastAsia"/>
                <w:b/>
                <w:bCs/>
                <w:lang w:val="en-US" w:eastAsia="zh-CN"/>
              </w:rPr>
              <w:t>0.15</w:t>
            </w:r>
            <w:r>
              <w:rPr>
                <w:rFonts w:hint="eastAsia"/>
                <w:b/>
                <w:bCs/>
              </w:rPr>
              <w:t>&lt;</w:t>
            </w:r>
            <w:r>
              <w:rPr>
                <w:b/>
                <w:bCs/>
                <w:i/>
                <w:iCs/>
              </w:rPr>
              <w:t>δ</w:t>
            </w:r>
            <w:r>
              <w:rPr>
                <w:b/>
                <w:bCs/>
                <w:vertAlign w:val="subscript"/>
              </w:rPr>
              <w:t>r</w:t>
            </w:r>
            <w:r>
              <w:rPr>
                <w:b/>
                <w:bCs/>
              </w:rPr>
              <w:t>≤</w:t>
            </w:r>
            <w:r>
              <w:rPr>
                <w:rFonts w:hint="eastAsia"/>
                <w:b/>
                <w:bCs/>
                <w:lang w:val="en-US" w:eastAsia="zh-CN"/>
              </w:rPr>
              <w:t>0.20</w:t>
            </w:r>
          </w:p>
        </w:tc>
        <w:tc>
          <w:tcPr>
            <w:tcW w:w="2180" w:type="dxa"/>
            <w:tcBorders>
              <w:top w:val="single" w:color="auto" w:sz="4" w:space="0"/>
              <w:left w:val="single" w:color="auto" w:sz="4" w:space="0"/>
              <w:bottom w:val="single" w:color="auto" w:sz="4" w:space="0"/>
              <w:right w:val="single" w:color="auto" w:sz="4" w:space="0"/>
            </w:tcBorders>
            <w:noWrap w:val="0"/>
            <w:vAlign w:val="center"/>
          </w:tcPr>
          <w:p w14:paraId="265ED753">
            <w:pPr>
              <w:jc w:val="center"/>
              <w:rPr>
                <w:rFonts w:hint="default"/>
                <w:b/>
                <w:bCs/>
                <w:i w:val="0"/>
                <w:iCs w:val="0"/>
                <w:lang w:val="en-US" w:eastAsia="zh-CN"/>
              </w:rPr>
            </w:pPr>
            <w:r>
              <w:rPr>
                <w:rFonts w:hint="eastAsia"/>
                <w:b/>
                <w:bCs/>
                <w:i w:val="0"/>
                <w:iCs w:val="0"/>
                <w:lang w:val="en-US" w:eastAsia="zh-CN"/>
              </w:rPr>
              <w:t>46</w:t>
            </w:r>
          </w:p>
        </w:tc>
        <w:tc>
          <w:tcPr>
            <w:tcW w:w="2180" w:type="dxa"/>
            <w:tcBorders>
              <w:top w:val="single" w:color="auto" w:sz="4" w:space="0"/>
              <w:left w:val="single" w:color="auto" w:sz="4" w:space="0"/>
              <w:bottom w:val="single" w:color="auto" w:sz="4" w:space="0"/>
              <w:right w:val="single" w:color="auto" w:sz="4" w:space="0"/>
            </w:tcBorders>
            <w:noWrap w:val="0"/>
            <w:vAlign w:val="center"/>
          </w:tcPr>
          <w:p w14:paraId="484D4E3C">
            <w:pPr>
              <w:jc w:val="center"/>
              <w:rPr>
                <w:rFonts w:hint="default"/>
                <w:b/>
                <w:bCs/>
                <w:i w:val="0"/>
                <w:iCs w:val="0"/>
                <w:lang w:val="en-US" w:eastAsia="zh-CN"/>
              </w:rPr>
            </w:pPr>
            <w:r>
              <w:rPr>
                <w:rFonts w:hint="eastAsia"/>
                <w:b/>
                <w:bCs/>
                <w:i w:val="0"/>
                <w:iCs w:val="0"/>
                <w:lang w:val="en-US" w:eastAsia="zh-CN"/>
              </w:rPr>
              <w:t>95.83%</w:t>
            </w:r>
          </w:p>
        </w:tc>
      </w:tr>
      <w:tr w14:paraId="12195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9" w:type="dxa"/>
            <w:vMerge w:val="continue"/>
            <w:tcBorders>
              <w:left w:val="single" w:color="auto" w:sz="4" w:space="0"/>
              <w:right w:val="single" w:color="auto" w:sz="4" w:space="0"/>
            </w:tcBorders>
            <w:noWrap w:val="0"/>
            <w:vAlign w:val="center"/>
          </w:tcPr>
          <w:p w14:paraId="0EFED8B6">
            <w:pPr>
              <w:jc w:val="center"/>
              <w:rPr>
                <w:b/>
                <w:bCs/>
              </w:rPr>
            </w:pPr>
          </w:p>
        </w:tc>
        <w:tc>
          <w:tcPr>
            <w:tcW w:w="2179" w:type="dxa"/>
            <w:tcBorders>
              <w:top w:val="single" w:color="auto" w:sz="4" w:space="0"/>
              <w:left w:val="single" w:color="auto" w:sz="4" w:space="0"/>
              <w:bottom w:val="single" w:color="auto" w:sz="4" w:space="0"/>
              <w:right w:val="single" w:color="auto" w:sz="4" w:space="0"/>
            </w:tcBorders>
            <w:noWrap w:val="0"/>
            <w:vAlign w:val="center"/>
          </w:tcPr>
          <w:p w14:paraId="32FFD7A4">
            <w:pPr>
              <w:jc w:val="center"/>
              <w:rPr>
                <w:rFonts w:hint="default"/>
                <w:b/>
                <w:bCs/>
                <w:kern w:val="2"/>
                <w:sz w:val="21"/>
                <w:szCs w:val="24"/>
                <w:lang w:val="en-US" w:eastAsia="zh-CN" w:bidi="ar-SA"/>
              </w:rPr>
            </w:pPr>
            <w:r>
              <w:rPr>
                <w:b/>
                <w:bCs/>
                <w:i/>
                <w:iCs/>
              </w:rPr>
              <w:t>δ</w:t>
            </w:r>
            <w:r>
              <w:rPr>
                <w:b/>
                <w:bCs/>
                <w:vertAlign w:val="subscript"/>
              </w:rPr>
              <w:t>r</w:t>
            </w:r>
            <w:r>
              <w:rPr>
                <w:b/>
                <w:bCs/>
              </w:rPr>
              <w:t>&gt;</w:t>
            </w:r>
            <w:r>
              <w:rPr>
                <w:rFonts w:hint="eastAsia"/>
                <w:b/>
                <w:bCs/>
                <w:lang w:val="en-US" w:eastAsia="zh-CN"/>
              </w:rPr>
              <w:t>0.20</w:t>
            </w:r>
          </w:p>
        </w:tc>
        <w:tc>
          <w:tcPr>
            <w:tcW w:w="2180" w:type="dxa"/>
            <w:tcBorders>
              <w:top w:val="single" w:color="auto" w:sz="4" w:space="0"/>
              <w:left w:val="single" w:color="auto" w:sz="4" w:space="0"/>
              <w:bottom w:val="single" w:color="auto" w:sz="4" w:space="0"/>
              <w:right w:val="single" w:color="auto" w:sz="4" w:space="0"/>
            </w:tcBorders>
            <w:noWrap w:val="0"/>
            <w:vAlign w:val="center"/>
          </w:tcPr>
          <w:p w14:paraId="72CC0DB8">
            <w:pPr>
              <w:jc w:val="center"/>
              <w:rPr>
                <w:rFonts w:hint="default"/>
                <w:b/>
                <w:bCs/>
                <w:i w:val="0"/>
                <w:iCs w:val="0"/>
                <w:lang w:val="en-US" w:eastAsia="zh-CN"/>
              </w:rPr>
            </w:pPr>
            <w:r>
              <w:rPr>
                <w:rFonts w:hint="eastAsia"/>
                <w:b/>
                <w:bCs/>
                <w:i w:val="0"/>
                <w:iCs w:val="0"/>
                <w:lang w:val="en-US" w:eastAsia="zh-CN"/>
              </w:rPr>
              <w:t>48</w:t>
            </w:r>
          </w:p>
        </w:tc>
        <w:tc>
          <w:tcPr>
            <w:tcW w:w="2180" w:type="dxa"/>
            <w:tcBorders>
              <w:top w:val="single" w:color="auto" w:sz="4" w:space="0"/>
              <w:left w:val="single" w:color="auto" w:sz="4" w:space="0"/>
              <w:bottom w:val="single" w:color="auto" w:sz="4" w:space="0"/>
              <w:right w:val="single" w:color="auto" w:sz="4" w:space="0"/>
            </w:tcBorders>
            <w:noWrap w:val="0"/>
            <w:vAlign w:val="center"/>
          </w:tcPr>
          <w:p w14:paraId="0D6A40C8">
            <w:pPr>
              <w:jc w:val="center"/>
              <w:rPr>
                <w:rFonts w:hint="default"/>
                <w:b/>
                <w:bCs/>
                <w:i w:val="0"/>
                <w:iCs w:val="0"/>
                <w:lang w:val="en-US" w:eastAsia="zh-CN"/>
              </w:rPr>
            </w:pPr>
            <w:r>
              <w:rPr>
                <w:rFonts w:hint="eastAsia"/>
                <w:b/>
                <w:bCs/>
                <w:i w:val="0"/>
                <w:iCs w:val="0"/>
                <w:lang w:val="en-US" w:eastAsia="zh-CN"/>
              </w:rPr>
              <w:t>100%</w:t>
            </w:r>
          </w:p>
        </w:tc>
      </w:tr>
      <w:tr w14:paraId="4C9EE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9" w:type="dxa"/>
            <w:vMerge w:val="restart"/>
            <w:tcBorders>
              <w:left w:val="single" w:color="auto" w:sz="4" w:space="0"/>
              <w:right w:val="single" w:color="auto" w:sz="4" w:space="0"/>
            </w:tcBorders>
            <w:noWrap w:val="0"/>
            <w:vAlign w:val="center"/>
          </w:tcPr>
          <w:p w14:paraId="34F03DCF">
            <w:pPr>
              <w:jc w:val="center"/>
              <w:rPr>
                <w:b/>
                <w:bCs/>
              </w:rPr>
            </w:pPr>
            <w:r>
              <w:rPr>
                <w:rFonts w:hint="eastAsia"/>
                <w:b/>
                <w:bCs/>
                <w:lang w:val="en-US" w:eastAsia="zh-CN"/>
              </w:rPr>
              <w:t>x</w:t>
            </w:r>
            <w:r>
              <w:rPr>
                <w:rFonts w:hint="eastAsia"/>
                <w:b/>
                <w:bCs/>
                <w:lang w:eastAsia="zh-CN"/>
              </w:rPr>
              <w:t>≤</w:t>
            </w:r>
            <w:r>
              <w:rPr>
                <w:rFonts w:hint="eastAsia"/>
                <w:b/>
                <w:bCs/>
                <w:lang w:val="en-US" w:eastAsia="zh-CN"/>
              </w:rPr>
              <w:t>0.2%</w:t>
            </w:r>
          </w:p>
        </w:tc>
        <w:tc>
          <w:tcPr>
            <w:tcW w:w="2179" w:type="dxa"/>
            <w:tcBorders>
              <w:top w:val="single" w:color="auto" w:sz="4" w:space="0"/>
              <w:left w:val="single" w:color="auto" w:sz="4" w:space="0"/>
              <w:bottom w:val="single" w:color="auto" w:sz="4" w:space="0"/>
              <w:right w:val="single" w:color="auto" w:sz="4" w:space="0"/>
            </w:tcBorders>
            <w:noWrap w:val="0"/>
            <w:vAlign w:val="center"/>
          </w:tcPr>
          <w:p w14:paraId="28EF032F">
            <w:pPr>
              <w:jc w:val="center"/>
              <w:rPr>
                <w:rFonts w:hint="default" w:eastAsia="宋体"/>
                <w:b/>
                <w:bCs/>
                <w:kern w:val="2"/>
                <w:sz w:val="21"/>
                <w:szCs w:val="24"/>
                <w:lang w:val="en-US" w:eastAsia="zh-CN" w:bidi="ar-SA"/>
              </w:rPr>
            </w:pPr>
            <w:r>
              <w:rPr>
                <w:b/>
                <w:bCs/>
                <w:i/>
                <w:iCs/>
              </w:rPr>
              <w:t>δ</w:t>
            </w:r>
            <w:r>
              <w:rPr>
                <w:b/>
                <w:bCs/>
                <w:vertAlign w:val="subscript"/>
              </w:rPr>
              <w:t>r</w:t>
            </w:r>
            <w:r>
              <w:rPr>
                <w:b/>
                <w:bCs/>
              </w:rPr>
              <w:t>≤</w:t>
            </w:r>
            <w:r>
              <w:rPr>
                <w:rFonts w:hint="eastAsia"/>
                <w:b/>
                <w:bCs/>
                <w:lang w:val="en-US" w:eastAsia="zh-CN"/>
              </w:rPr>
              <w:t>0.02</w:t>
            </w:r>
          </w:p>
        </w:tc>
        <w:tc>
          <w:tcPr>
            <w:tcW w:w="2180" w:type="dxa"/>
            <w:tcBorders>
              <w:top w:val="single" w:color="auto" w:sz="4" w:space="0"/>
              <w:left w:val="single" w:color="auto" w:sz="4" w:space="0"/>
              <w:bottom w:val="single" w:color="auto" w:sz="4" w:space="0"/>
              <w:right w:val="single" w:color="auto" w:sz="4" w:space="0"/>
            </w:tcBorders>
            <w:noWrap w:val="0"/>
            <w:vAlign w:val="center"/>
          </w:tcPr>
          <w:p w14:paraId="5BE0A15D">
            <w:pPr>
              <w:jc w:val="center"/>
              <w:rPr>
                <w:rFonts w:hint="default"/>
                <w:b/>
                <w:bCs/>
                <w:i w:val="0"/>
                <w:iCs w:val="0"/>
                <w:lang w:val="en-US" w:eastAsia="zh-CN"/>
              </w:rPr>
            </w:pPr>
            <w:r>
              <w:rPr>
                <w:rFonts w:hint="eastAsia"/>
                <w:b/>
                <w:bCs/>
                <w:i w:val="0"/>
                <w:iCs w:val="0"/>
                <w:lang w:val="en-US" w:eastAsia="zh-CN"/>
              </w:rPr>
              <w:t>17</w:t>
            </w:r>
          </w:p>
        </w:tc>
        <w:tc>
          <w:tcPr>
            <w:tcW w:w="2180" w:type="dxa"/>
            <w:tcBorders>
              <w:top w:val="single" w:color="auto" w:sz="4" w:space="0"/>
              <w:left w:val="single" w:color="auto" w:sz="4" w:space="0"/>
              <w:bottom w:val="single" w:color="auto" w:sz="4" w:space="0"/>
              <w:right w:val="single" w:color="auto" w:sz="4" w:space="0"/>
            </w:tcBorders>
            <w:noWrap w:val="0"/>
            <w:vAlign w:val="center"/>
          </w:tcPr>
          <w:p w14:paraId="71ADD199">
            <w:pPr>
              <w:jc w:val="center"/>
              <w:rPr>
                <w:rFonts w:hint="default"/>
                <w:b/>
                <w:bCs/>
                <w:i w:val="0"/>
                <w:iCs w:val="0"/>
                <w:lang w:val="en-US" w:eastAsia="zh-CN"/>
              </w:rPr>
            </w:pPr>
            <w:r>
              <w:rPr>
                <w:rFonts w:hint="eastAsia"/>
                <w:b/>
                <w:bCs/>
                <w:i w:val="0"/>
                <w:iCs w:val="0"/>
                <w:lang w:val="en-US" w:eastAsia="zh-CN"/>
              </w:rPr>
              <w:t>77.27%</w:t>
            </w:r>
          </w:p>
        </w:tc>
      </w:tr>
      <w:tr w14:paraId="05AD2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9" w:type="dxa"/>
            <w:vMerge w:val="continue"/>
            <w:tcBorders>
              <w:left w:val="single" w:color="auto" w:sz="4" w:space="0"/>
              <w:right w:val="single" w:color="auto" w:sz="4" w:space="0"/>
            </w:tcBorders>
            <w:noWrap w:val="0"/>
            <w:vAlign w:val="center"/>
          </w:tcPr>
          <w:p w14:paraId="1BBE700B">
            <w:pPr>
              <w:jc w:val="center"/>
              <w:rPr>
                <w:b/>
                <w:bCs/>
              </w:rPr>
            </w:pPr>
          </w:p>
        </w:tc>
        <w:tc>
          <w:tcPr>
            <w:tcW w:w="2179" w:type="dxa"/>
            <w:tcBorders>
              <w:top w:val="single" w:color="auto" w:sz="4" w:space="0"/>
              <w:left w:val="single" w:color="auto" w:sz="4" w:space="0"/>
              <w:bottom w:val="single" w:color="auto" w:sz="4" w:space="0"/>
              <w:right w:val="single" w:color="auto" w:sz="4" w:space="0"/>
            </w:tcBorders>
            <w:noWrap w:val="0"/>
            <w:vAlign w:val="center"/>
          </w:tcPr>
          <w:p w14:paraId="26164C96">
            <w:pPr>
              <w:jc w:val="center"/>
              <w:rPr>
                <w:rFonts w:hint="default" w:eastAsia="宋体"/>
                <w:b/>
                <w:bCs/>
                <w:kern w:val="2"/>
                <w:sz w:val="21"/>
                <w:szCs w:val="24"/>
                <w:lang w:val="en-US" w:eastAsia="zh-CN" w:bidi="ar-SA"/>
              </w:rPr>
            </w:pPr>
            <w:r>
              <w:rPr>
                <w:rFonts w:hint="eastAsia"/>
                <w:b/>
                <w:bCs/>
                <w:lang w:val="en-US" w:eastAsia="zh-CN"/>
              </w:rPr>
              <w:t>0.02</w:t>
            </w:r>
            <w:r>
              <w:rPr>
                <w:rFonts w:hint="eastAsia"/>
                <w:b/>
                <w:bCs/>
              </w:rPr>
              <w:t>&lt;</w:t>
            </w:r>
            <w:r>
              <w:rPr>
                <w:b/>
                <w:bCs/>
                <w:i/>
                <w:iCs/>
              </w:rPr>
              <w:t>δ</w:t>
            </w:r>
            <w:r>
              <w:rPr>
                <w:b/>
                <w:bCs/>
                <w:vertAlign w:val="subscript"/>
              </w:rPr>
              <w:t>r</w:t>
            </w:r>
            <w:r>
              <w:rPr>
                <w:b/>
                <w:bCs/>
              </w:rPr>
              <w:t>≤</w:t>
            </w:r>
            <w:r>
              <w:rPr>
                <w:rFonts w:hint="eastAsia"/>
                <w:b/>
                <w:bCs/>
                <w:lang w:val="en-US" w:eastAsia="zh-CN"/>
              </w:rPr>
              <w:t>0.03</w:t>
            </w:r>
          </w:p>
        </w:tc>
        <w:tc>
          <w:tcPr>
            <w:tcW w:w="2180" w:type="dxa"/>
            <w:tcBorders>
              <w:top w:val="single" w:color="auto" w:sz="4" w:space="0"/>
              <w:left w:val="single" w:color="auto" w:sz="4" w:space="0"/>
              <w:bottom w:val="single" w:color="auto" w:sz="4" w:space="0"/>
              <w:right w:val="single" w:color="auto" w:sz="4" w:space="0"/>
            </w:tcBorders>
            <w:noWrap w:val="0"/>
            <w:vAlign w:val="center"/>
          </w:tcPr>
          <w:p w14:paraId="67D45547">
            <w:pPr>
              <w:jc w:val="center"/>
              <w:rPr>
                <w:rFonts w:hint="default"/>
                <w:b/>
                <w:bCs/>
                <w:i w:val="0"/>
                <w:iCs w:val="0"/>
                <w:lang w:val="en-US" w:eastAsia="zh-CN"/>
              </w:rPr>
            </w:pPr>
            <w:r>
              <w:rPr>
                <w:rFonts w:hint="eastAsia"/>
                <w:b/>
                <w:bCs/>
                <w:i w:val="0"/>
                <w:iCs w:val="0"/>
                <w:lang w:val="en-US" w:eastAsia="zh-CN"/>
              </w:rPr>
              <w:t>21</w:t>
            </w:r>
          </w:p>
        </w:tc>
        <w:tc>
          <w:tcPr>
            <w:tcW w:w="2180" w:type="dxa"/>
            <w:tcBorders>
              <w:top w:val="single" w:color="auto" w:sz="4" w:space="0"/>
              <w:left w:val="single" w:color="auto" w:sz="4" w:space="0"/>
              <w:bottom w:val="single" w:color="auto" w:sz="4" w:space="0"/>
              <w:right w:val="single" w:color="auto" w:sz="4" w:space="0"/>
            </w:tcBorders>
            <w:noWrap w:val="0"/>
            <w:vAlign w:val="center"/>
          </w:tcPr>
          <w:p w14:paraId="1FE1121A">
            <w:pPr>
              <w:jc w:val="center"/>
              <w:rPr>
                <w:rFonts w:hint="default"/>
                <w:b/>
                <w:bCs/>
                <w:i w:val="0"/>
                <w:iCs w:val="0"/>
                <w:lang w:val="en-US" w:eastAsia="zh-CN"/>
              </w:rPr>
            </w:pPr>
            <w:r>
              <w:rPr>
                <w:rFonts w:hint="eastAsia"/>
                <w:b/>
                <w:bCs/>
                <w:i w:val="0"/>
                <w:iCs w:val="0"/>
                <w:lang w:val="en-US" w:eastAsia="zh-CN"/>
              </w:rPr>
              <w:t>95.45%</w:t>
            </w:r>
          </w:p>
        </w:tc>
      </w:tr>
      <w:tr w14:paraId="6FF2F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9" w:type="dxa"/>
            <w:vMerge w:val="continue"/>
            <w:tcBorders>
              <w:left w:val="single" w:color="auto" w:sz="4" w:space="0"/>
              <w:bottom w:val="single" w:color="auto" w:sz="4" w:space="0"/>
              <w:right w:val="single" w:color="auto" w:sz="4" w:space="0"/>
            </w:tcBorders>
            <w:noWrap w:val="0"/>
            <w:vAlign w:val="center"/>
          </w:tcPr>
          <w:p w14:paraId="240EA9A7">
            <w:pPr>
              <w:jc w:val="center"/>
              <w:rPr>
                <w:b/>
                <w:bCs/>
              </w:rPr>
            </w:pPr>
          </w:p>
        </w:tc>
        <w:tc>
          <w:tcPr>
            <w:tcW w:w="2179" w:type="dxa"/>
            <w:tcBorders>
              <w:top w:val="single" w:color="auto" w:sz="4" w:space="0"/>
              <w:left w:val="single" w:color="auto" w:sz="4" w:space="0"/>
              <w:bottom w:val="single" w:color="auto" w:sz="4" w:space="0"/>
              <w:right w:val="single" w:color="auto" w:sz="4" w:space="0"/>
            </w:tcBorders>
            <w:noWrap w:val="0"/>
            <w:vAlign w:val="center"/>
          </w:tcPr>
          <w:p w14:paraId="320875C5">
            <w:pPr>
              <w:jc w:val="center"/>
              <w:rPr>
                <w:rFonts w:hint="default"/>
                <w:b/>
                <w:bCs/>
                <w:lang w:val="en-US"/>
              </w:rPr>
            </w:pPr>
            <w:r>
              <w:rPr>
                <w:b/>
                <w:bCs/>
                <w:i/>
                <w:iCs/>
              </w:rPr>
              <w:t>δ</w:t>
            </w:r>
            <w:r>
              <w:rPr>
                <w:b/>
                <w:bCs/>
                <w:vertAlign w:val="subscript"/>
              </w:rPr>
              <w:t>r</w:t>
            </w:r>
            <w:r>
              <w:rPr>
                <w:b/>
                <w:bCs/>
              </w:rPr>
              <w:t>&gt;</w:t>
            </w:r>
            <w:r>
              <w:rPr>
                <w:rFonts w:hint="eastAsia"/>
                <w:b/>
                <w:bCs/>
                <w:lang w:val="en-US" w:eastAsia="zh-CN"/>
              </w:rPr>
              <w:t>0.03</w:t>
            </w:r>
          </w:p>
        </w:tc>
        <w:tc>
          <w:tcPr>
            <w:tcW w:w="2180" w:type="dxa"/>
            <w:tcBorders>
              <w:top w:val="single" w:color="auto" w:sz="4" w:space="0"/>
              <w:left w:val="single" w:color="auto" w:sz="4" w:space="0"/>
              <w:bottom w:val="single" w:color="auto" w:sz="4" w:space="0"/>
              <w:right w:val="single" w:color="auto" w:sz="4" w:space="0"/>
            </w:tcBorders>
            <w:noWrap w:val="0"/>
            <w:vAlign w:val="center"/>
          </w:tcPr>
          <w:p w14:paraId="00CEC321">
            <w:pPr>
              <w:jc w:val="center"/>
              <w:rPr>
                <w:rFonts w:hint="default"/>
                <w:b/>
                <w:bCs/>
                <w:i w:val="0"/>
                <w:iCs w:val="0"/>
                <w:lang w:val="en-US" w:eastAsia="zh-CN"/>
              </w:rPr>
            </w:pPr>
            <w:r>
              <w:rPr>
                <w:rFonts w:hint="eastAsia"/>
                <w:b/>
                <w:bCs/>
                <w:i w:val="0"/>
                <w:iCs w:val="0"/>
                <w:lang w:val="en-US" w:eastAsia="zh-CN"/>
              </w:rPr>
              <w:t>22</w:t>
            </w:r>
          </w:p>
        </w:tc>
        <w:tc>
          <w:tcPr>
            <w:tcW w:w="2180" w:type="dxa"/>
            <w:tcBorders>
              <w:top w:val="single" w:color="auto" w:sz="4" w:space="0"/>
              <w:left w:val="single" w:color="auto" w:sz="4" w:space="0"/>
              <w:bottom w:val="single" w:color="auto" w:sz="4" w:space="0"/>
              <w:right w:val="single" w:color="auto" w:sz="4" w:space="0"/>
            </w:tcBorders>
            <w:noWrap w:val="0"/>
            <w:vAlign w:val="center"/>
          </w:tcPr>
          <w:p w14:paraId="6549FD4C">
            <w:pPr>
              <w:jc w:val="center"/>
              <w:rPr>
                <w:rFonts w:hint="default" w:eastAsia="宋体"/>
                <w:b/>
                <w:bCs/>
                <w:i w:val="0"/>
                <w:iCs w:val="0"/>
                <w:lang w:val="en-US" w:eastAsia="zh-CN"/>
              </w:rPr>
            </w:pPr>
            <w:r>
              <w:rPr>
                <w:rFonts w:hint="eastAsia"/>
                <w:b/>
                <w:bCs/>
                <w:i w:val="0"/>
                <w:iCs w:val="0"/>
                <w:lang w:val="en-US" w:eastAsia="zh-CN"/>
              </w:rPr>
              <w:t>100%</w:t>
            </w:r>
          </w:p>
        </w:tc>
      </w:tr>
    </w:tbl>
    <w:p w14:paraId="2BFF8959">
      <w:pPr>
        <w:spacing w:line="360" w:lineRule="auto"/>
        <w:ind w:firstLine="480" w:firstLineChars="200"/>
        <w:jc w:val="left"/>
        <w:rPr>
          <w:rFonts w:hint="eastAsia" w:ascii="宋体" w:hAnsi="宋体"/>
          <w:sz w:val="24"/>
        </w:rPr>
      </w:pPr>
      <w:r>
        <w:rPr>
          <w:rFonts w:hint="eastAsia" w:ascii="宋体" w:hAnsi="宋体"/>
          <w:sz w:val="24"/>
        </w:rPr>
        <w:t>重复性在特定值出现的概率作了计算，</w:t>
      </w:r>
      <w:r>
        <w:rPr>
          <w:rFonts w:hint="eastAsia" w:ascii="宋体" w:hAnsi="宋体"/>
          <w:sz w:val="24"/>
          <w:lang w:val="en-US" w:eastAsia="zh-CN"/>
        </w:rPr>
        <w:t>残炭值大于5%分段中,</w:t>
      </w:r>
      <w:r>
        <w:rPr>
          <w:rFonts w:hint="eastAsia" w:ascii="宋体" w:hAnsi="宋体"/>
          <w:sz w:val="24"/>
        </w:rPr>
        <w:t>当</w:t>
      </w:r>
      <w:r>
        <w:rPr>
          <w:b/>
          <w:bCs/>
          <w:i/>
          <w:iCs/>
        </w:rPr>
        <w:t>δ</w:t>
      </w:r>
      <w:r>
        <w:rPr>
          <w:b/>
          <w:bCs/>
          <w:vertAlign w:val="subscript"/>
        </w:rPr>
        <w:t>r</w:t>
      </w:r>
      <w:r>
        <w:rPr>
          <w:rFonts w:ascii="宋体" w:hAnsi="宋体"/>
          <w:sz w:val="24"/>
        </w:rPr>
        <w:t>≤</w:t>
      </w:r>
      <w:r>
        <w:rPr>
          <w:rFonts w:hint="eastAsia" w:ascii="宋体" w:hAnsi="宋体"/>
          <w:sz w:val="24"/>
          <w:lang w:val="en-US" w:eastAsia="zh-CN"/>
        </w:rPr>
        <w:t>1.0</w:t>
      </w:r>
      <w:r>
        <w:rPr>
          <w:rFonts w:ascii="宋体" w:hAnsi="宋体"/>
          <w:sz w:val="24"/>
        </w:rPr>
        <w:t>%</w:t>
      </w:r>
      <w:r>
        <w:rPr>
          <w:rFonts w:hint="eastAsia" w:ascii="宋体" w:hAnsi="宋体"/>
          <w:sz w:val="24"/>
        </w:rPr>
        <w:t>时，可覆盖</w:t>
      </w:r>
      <w:r>
        <w:rPr>
          <w:rFonts w:ascii="宋体" w:hAnsi="宋体"/>
          <w:sz w:val="24"/>
        </w:rPr>
        <w:t>9</w:t>
      </w:r>
      <w:r>
        <w:rPr>
          <w:rFonts w:hint="eastAsia" w:ascii="宋体" w:hAnsi="宋体"/>
          <w:sz w:val="24"/>
          <w:lang w:val="en-US" w:eastAsia="zh-CN"/>
        </w:rPr>
        <w:t>4.83</w:t>
      </w:r>
      <w:r>
        <w:rPr>
          <w:rFonts w:ascii="宋体" w:hAnsi="宋体"/>
          <w:sz w:val="24"/>
        </w:rPr>
        <w:t>%</w:t>
      </w:r>
      <w:r>
        <w:rPr>
          <w:rFonts w:hint="eastAsia" w:ascii="宋体" w:hAnsi="宋体"/>
          <w:sz w:val="24"/>
        </w:rPr>
        <w:t>（</w:t>
      </w:r>
      <w:r>
        <w:rPr>
          <w:rFonts w:hint="eastAsia" w:ascii="宋体" w:hAnsi="宋体"/>
          <w:sz w:val="24"/>
          <w:lang w:val="en-US" w:eastAsia="zh-CN"/>
        </w:rPr>
        <w:t>55</w:t>
      </w:r>
      <w:r>
        <w:rPr>
          <w:rFonts w:ascii="宋体" w:hAnsi="宋体"/>
          <w:sz w:val="24"/>
        </w:rPr>
        <w:t>/</w:t>
      </w:r>
      <w:r>
        <w:rPr>
          <w:rFonts w:hint="eastAsia" w:ascii="宋体" w:hAnsi="宋体"/>
          <w:sz w:val="24"/>
          <w:lang w:val="en-US" w:eastAsia="zh-CN"/>
        </w:rPr>
        <w:t>58</w:t>
      </w:r>
      <w:r>
        <w:rPr>
          <w:rFonts w:hint="eastAsia" w:ascii="宋体" w:hAnsi="宋体"/>
          <w:sz w:val="24"/>
        </w:rPr>
        <w:t>）的测量数据</w:t>
      </w:r>
      <w:r>
        <w:rPr>
          <w:rFonts w:hint="eastAsia" w:ascii="宋体" w:hAnsi="宋体"/>
          <w:sz w:val="24"/>
          <w:lang w:eastAsia="zh-CN"/>
        </w:rPr>
        <w:t>；</w:t>
      </w:r>
      <w:r>
        <w:rPr>
          <w:rFonts w:hint="eastAsia" w:ascii="宋体" w:hAnsi="宋体"/>
          <w:sz w:val="24"/>
          <w:lang w:val="en-US" w:eastAsia="zh-CN"/>
        </w:rPr>
        <w:t>0.2%-5%分段中，</w:t>
      </w:r>
      <w:r>
        <w:rPr>
          <w:rFonts w:hint="eastAsia" w:ascii="宋体" w:hAnsi="宋体"/>
          <w:sz w:val="24"/>
        </w:rPr>
        <w:t>当</w:t>
      </w:r>
      <w:r>
        <w:rPr>
          <w:b/>
          <w:bCs/>
          <w:i/>
          <w:iCs/>
        </w:rPr>
        <w:t>δ</w:t>
      </w:r>
      <w:r>
        <w:rPr>
          <w:b/>
          <w:bCs/>
          <w:vertAlign w:val="subscript"/>
        </w:rPr>
        <w:t>r</w:t>
      </w:r>
      <w:r>
        <w:rPr>
          <w:rFonts w:ascii="宋体" w:hAnsi="宋体"/>
          <w:sz w:val="24"/>
        </w:rPr>
        <w:t>≤</w:t>
      </w:r>
      <w:r>
        <w:rPr>
          <w:rFonts w:hint="eastAsia" w:ascii="宋体" w:hAnsi="宋体"/>
          <w:sz w:val="24"/>
          <w:lang w:val="en-US" w:eastAsia="zh-CN"/>
        </w:rPr>
        <w:t>0.20</w:t>
      </w:r>
      <w:r>
        <w:rPr>
          <w:rFonts w:ascii="宋体" w:hAnsi="宋体"/>
          <w:sz w:val="24"/>
        </w:rPr>
        <w:t>%</w:t>
      </w:r>
      <w:r>
        <w:rPr>
          <w:rFonts w:hint="eastAsia" w:ascii="宋体" w:hAnsi="宋体"/>
          <w:sz w:val="24"/>
        </w:rPr>
        <w:t>时，可覆盖</w:t>
      </w:r>
      <w:r>
        <w:rPr>
          <w:rFonts w:ascii="宋体" w:hAnsi="宋体"/>
          <w:sz w:val="24"/>
        </w:rPr>
        <w:t>9</w:t>
      </w:r>
      <w:r>
        <w:rPr>
          <w:rFonts w:hint="eastAsia" w:ascii="宋体" w:hAnsi="宋体"/>
          <w:sz w:val="24"/>
          <w:lang w:val="en-US" w:eastAsia="zh-CN"/>
        </w:rPr>
        <w:t>5.83</w:t>
      </w:r>
      <w:r>
        <w:rPr>
          <w:rFonts w:ascii="宋体" w:hAnsi="宋体"/>
          <w:sz w:val="24"/>
        </w:rPr>
        <w:t>%</w:t>
      </w:r>
      <w:r>
        <w:rPr>
          <w:rFonts w:hint="eastAsia" w:ascii="宋体" w:hAnsi="宋体"/>
          <w:sz w:val="24"/>
        </w:rPr>
        <w:t>（</w:t>
      </w:r>
      <w:r>
        <w:rPr>
          <w:rFonts w:hint="eastAsia" w:ascii="宋体" w:hAnsi="宋体"/>
          <w:sz w:val="24"/>
          <w:lang w:val="en-US" w:eastAsia="zh-CN"/>
        </w:rPr>
        <w:t>46</w:t>
      </w:r>
      <w:r>
        <w:rPr>
          <w:rFonts w:ascii="宋体" w:hAnsi="宋体"/>
          <w:sz w:val="24"/>
        </w:rPr>
        <w:t>/</w:t>
      </w:r>
      <w:r>
        <w:rPr>
          <w:rFonts w:hint="eastAsia" w:ascii="宋体" w:hAnsi="宋体"/>
          <w:sz w:val="24"/>
          <w:lang w:val="en-US" w:eastAsia="zh-CN"/>
        </w:rPr>
        <w:t>48</w:t>
      </w:r>
      <w:r>
        <w:rPr>
          <w:rFonts w:hint="eastAsia" w:ascii="宋体" w:hAnsi="宋体"/>
          <w:sz w:val="24"/>
        </w:rPr>
        <w:t>）的测量数据</w:t>
      </w:r>
      <w:r>
        <w:rPr>
          <w:rFonts w:hint="eastAsia" w:ascii="宋体" w:hAnsi="宋体"/>
          <w:sz w:val="24"/>
          <w:lang w:eastAsia="zh-CN"/>
        </w:rPr>
        <w:t>；</w:t>
      </w:r>
      <w:r>
        <w:rPr>
          <w:rFonts w:hint="eastAsia" w:ascii="宋体" w:hAnsi="宋体"/>
          <w:sz w:val="24"/>
          <w:lang w:val="en-US" w:eastAsia="zh-CN"/>
        </w:rPr>
        <w:t>小于0.2%分段中，</w:t>
      </w:r>
      <w:r>
        <w:rPr>
          <w:rFonts w:hint="eastAsia" w:ascii="宋体" w:hAnsi="宋体"/>
          <w:sz w:val="24"/>
        </w:rPr>
        <w:t>当</w:t>
      </w:r>
      <w:r>
        <w:rPr>
          <w:b/>
          <w:bCs/>
          <w:i/>
          <w:iCs/>
        </w:rPr>
        <w:t>δ</w:t>
      </w:r>
      <w:r>
        <w:rPr>
          <w:b/>
          <w:bCs/>
          <w:vertAlign w:val="subscript"/>
        </w:rPr>
        <w:t>r</w:t>
      </w:r>
      <w:r>
        <w:rPr>
          <w:rFonts w:ascii="宋体" w:hAnsi="宋体"/>
          <w:sz w:val="24"/>
        </w:rPr>
        <w:t>≤</w:t>
      </w:r>
      <w:r>
        <w:rPr>
          <w:rFonts w:hint="eastAsia" w:ascii="宋体" w:hAnsi="宋体"/>
          <w:sz w:val="24"/>
          <w:lang w:val="en-US" w:eastAsia="zh-CN"/>
        </w:rPr>
        <w:t>0.03</w:t>
      </w:r>
      <w:r>
        <w:rPr>
          <w:rFonts w:ascii="宋体" w:hAnsi="宋体"/>
          <w:sz w:val="24"/>
        </w:rPr>
        <w:t>%</w:t>
      </w:r>
      <w:r>
        <w:rPr>
          <w:rFonts w:hint="eastAsia" w:ascii="宋体" w:hAnsi="宋体"/>
          <w:sz w:val="24"/>
        </w:rPr>
        <w:t>时，可覆盖</w:t>
      </w:r>
      <w:r>
        <w:rPr>
          <w:rFonts w:hint="eastAsia" w:ascii="宋体" w:hAnsi="宋体"/>
          <w:sz w:val="24"/>
          <w:lang w:val="en-US" w:eastAsia="zh-CN"/>
        </w:rPr>
        <w:t>95.45</w:t>
      </w:r>
      <w:r>
        <w:rPr>
          <w:rFonts w:ascii="宋体" w:hAnsi="宋体"/>
          <w:sz w:val="24"/>
        </w:rPr>
        <w:t>%</w:t>
      </w:r>
      <w:r>
        <w:rPr>
          <w:rFonts w:hint="eastAsia" w:ascii="宋体" w:hAnsi="宋体"/>
          <w:sz w:val="24"/>
        </w:rPr>
        <w:t>（</w:t>
      </w:r>
      <w:r>
        <w:rPr>
          <w:rFonts w:hint="eastAsia" w:ascii="宋体" w:hAnsi="宋体"/>
          <w:sz w:val="24"/>
          <w:lang w:val="en-US" w:eastAsia="zh-CN"/>
        </w:rPr>
        <w:t>21</w:t>
      </w:r>
      <w:r>
        <w:rPr>
          <w:rFonts w:ascii="宋体" w:hAnsi="宋体"/>
          <w:sz w:val="24"/>
        </w:rPr>
        <w:t>/</w:t>
      </w:r>
      <w:r>
        <w:rPr>
          <w:rFonts w:hint="eastAsia" w:ascii="宋体" w:hAnsi="宋体"/>
          <w:sz w:val="24"/>
          <w:lang w:val="en-US" w:eastAsia="zh-CN"/>
        </w:rPr>
        <w:t>22</w:t>
      </w:r>
      <w:r>
        <w:rPr>
          <w:rFonts w:hint="eastAsia" w:ascii="宋体" w:hAnsi="宋体"/>
          <w:sz w:val="24"/>
        </w:rPr>
        <w:t>）的测量数据</w:t>
      </w:r>
      <w:r>
        <w:rPr>
          <w:rFonts w:hint="eastAsia" w:ascii="宋体" w:hAnsi="宋体"/>
          <w:sz w:val="24"/>
          <w:lang w:val="en-US" w:eastAsia="zh-CN"/>
        </w:rPr>
        <w:t>。</w:t>
      </w:r>
    </w:p>
    <w:p w14:paraId="1CE62B56">
      <w:pPr>
        <w:spacing w:line="360" w:lineRule="auto"/>
        <w:ind w:firstLine="480" w:firstLineChars="200"/>
        <w:jc w:val="left"/>
        <w:rPr>
          <w:rFonts w:ascii="宋体" w:hAnsi="宋体"/>
          <w:sz w:val="24"/>
        </w:rPr>
      </w:pPr>
      <w:r>
        <w:rPr>
          <w:rFonts w:hint="eastAsia" w:ascii="宋体" w:hAnsi="宋体"/>
          <w:sz w:val="24"/>
          <w:lang w:eastAsia="zh-CN"/>
        </w:rPr>
        <w:t>根据目前数据，</w:t>
      </w:r>
      <w:r>
        <w:rPr>
          <w:rFonts w:hint="eastAsia" w:ascii="宋体" w:hAnsi="宋体"/>
          <w:sz w:val="24"/>
        </w:rPr>
        <w:t>确定在本校准规范中，仪器</w:t>
      </w:r>
      <w:r>
        <w:rPr>
          <w:rFonts w:hint="eastAsia" w:ascii="宋体" w:hAnsi="宋体"/>
          <w:sz w:val="24"/>
          <w:lang w:eastAsia="zh-CN"/>
        </w:rPr>
        <w:t>重复性：当</w:t>
      </w:r>
      <w:r>
        <w:rPr>
          <w:rFonts w:hint="eastAsia" w:ascii="宋体" w:hAnsi="宋体"/>
          <w:sz w:val="24"/>
          <w:lang w:val="en-US" w:eastAsia="zh-CN"/>
        </w:rPr>
        <w:t>x</w:t>
      </w:r>
      <w:r>
        <w:rPr>
          <w:rFonts w:hint="eastAsia" w:ascii="宋体" w:hAnsi="宋体"/>
          <w:sz w:val="24"/>
          <w:lang w:eastAsia="zh-CN"/>
        </w:rPr>
        <w:t>≥</w:t>
      </w:r>
      <w:r>
        <w:rPr>
          <w:rFonts w:hint="eastAsia" w:ascii="宋体" w:hAnsi="宋体"/>
          <w:sz w:val="24"/>
          <w:lang w:val="en-US" w:eastAsia="zh-CN"/>
        </w:rPr>
        <w:t>5%时，</w:t>
      </w:r>
      <w:r>
        <w:rPr>
          <w:rFonts w:hint="eastAsia" w:ascii="宋体" w:hAnsi="宋体"/>
          <w:sz w:val="24"/>
        </w:rPr>
        <w:t>为</w:t>
      </w:r>
      <w:r>
        <w:rPr>
          <w:rFonts w:hint="eastAsia" w:ascii="宋体" w:hAnsi="宋体"/>
          <w:sz w:val="24"/>
          <w:lang w:val="en-US" w:eastAsia="zh-CN"/>
        </w:rPr>
        <w:t>1.0</w:t>
      </w:r>
      <w:r>
        <w:rPr>
          <w:rFonts w:ascii="宋体" w:hAnsi="宋体"/>
          <w:sz w:val="24"/>
        </w:rPr>
        <w:t>%</w:t>
      </w:r>
      <w:r>
        <w:rPr>
          <w:rFonts w:hint="eastAsia" w:ascii="宋体" w:hAnsi="宋体"/>
          <w:sz w:val="24"/>
          <w:lang w:eastAsia="zh-CN"/>
        </w:rPr>
        <w:t>；当</w:t>
      </w:r>
      <w:r>
        <w:rPr>
          <w:rFonts w:hint="eastAsia" w:ascii="宋体" w:hAnsi="宋体"/>
          <w:sz w:val="24"/>
          <w:lang w:val="en-US" w:eastAsia="zh-CN"/>
        </w:rPr>
        <w:t>0.2%</w:t>
      </w:r>
      <w:r>
        <w:rPr>
          <w:rFonts w:hint="eastAsia" w:ascii="宋体" w:hAnsi="宋体"/>
          <w:sz w:val="24"/>
          <w:lang w:eastAsia="zh-CN"/>
        </w:rPr>
        <w:t>＜</w:t>
      </w:r>
      <w:r>
        <w:rPr>
          <w:rFonts w:hint="eastAsia" w:ascii="宋体" w:hAnsi="宋体"/>
          <w:sz w:val="24"/>
          <w:lang w:val="en-US" w:eastAsia="zh-CN"/>
        </w:rPr>
        <w:t>x</w:t>
      </w:r>
      <w:r>
        <w:rPr>
          <w:rFonts w:hint="eastAsia" w:ascii="宋体" w:hAnsi="宋体"/>
          <w:sz w:val="24"/>
          <w:lang w:eastAsia="zh-CN"/>
        </w:rPr>
        <w:t>＜</w:t>
      </w:r>
      <w:r>
        <w:rPr>
          <w:rFonts w:hint="eastAsia" w:ascii="宋体" w:hAnsi="宋体"/>
          <w:sz w:val="24"/>
          <w:lang w:val="en-US" w:eastAsia="zh-CN"/>
        </w:rPr>
        <w:t>5%时，</w:t>
      </w:r>
      <w:r>
        <w:rPr>
          <w:rFonts w:hint="eastAsia" w:ascii="宋体" w:hAnsi="宋体"/>
          <w:sz w:val="24"/>
        </w:rPr>
        <w:t>为</w:t>
      </w:r>
      <w:r>
        <w:rPr>
          <w:rFonts w:hint="eastAsia" w:ascii="宋体" w:hAnsi="宋体"/>
          <w:sz w:val="24"/>
          <w:lang w:val="en-US" w:eastAsia="zh-CN"/>
        </w:rPr>
        <w:t>0.20</w:t>
      </w:r>
      <w:r>
        <w:rPr>
          <w:rFonts w:ascii="宋体" w:hAnsi="宋体"/>
          <w:sz w:val="24"/>
        </w:rPr>
        <w:t>%</w:t>
      </w:r>
      <w:r>
        <w:rPr>
          <w:rFonts w:hint="eastAsia" w:ascii="宋体" w:hAnsi="宋体"/>
          <w:sz w:val="24"/>
          <w:lang w:eastAsia="zh-CN"/>
        </w:rPr>
        <w:t>；当</w:t>
      </w:r>
      <w:r>
        <w:rPr>
          <w:rFonts w:hint="eastAsia" w:ascii="宋体" w:hAnsi="宋体"/>
          <w:sz w:val="24"/>
          <w:lang w:val="en-US" w:eastAsia="zh-CN"/>
        </w:rPr>
        <w:t>x</w:t>
      </w:r>
      <w:r>
        <w:rPr>
          <w:rFonts w:hint="eastAsia" w:ascii="宋体" w:hAnsi="宋体"/>
          <w:sz w:val="24"/>
          <w:lang w:eastAsia="zh-CN"/>
        </w:rPr>
        <w:t>≤</w:t>
      </w:r>
      <w:r>
        <w:rPr>
          <w:rFonts w:hint="eastAsia" w:ascii="宋体" w:hAnsi="宋体"/>
          <w:sz w:val="24"/>
          <w:lang w:val="en-US" w:eastAsia="zh-CN"/>
        </w:rPr>
        <w:t>0.2%时，</w:t>
      </w:r>
      <w:r>
        <w:rPr>
          <w:rFonts w:hint="eastAsia" w:ascii="宋体" w:hAnsi="宋体"/>
          <w:sz w:val="24"/>
        </w:rPr>
        <w:t>为</w:t>
      </w:r>
      <w:r>
        <w:rPr>
          <w:rFonts w:hint="eastAsia" w:ascii="宋体" w:hAnsi="宋体"/>
          <w:sz w:val="24"/>
          <w:lang w:val="en-US" w:eastAsia="zh-CN"/>
        </w:rPr>
        <w:t>0.03</w:t>
      </w:r>
      <w:r>
        <w:rPr>
          <w:rFonts w:ascii="宋体" w:hAnsi="宋体"/>
          <w:sz w:val="24"/>
        </w:rPr>
        <w:t>%</w:t>
      </w:r>
      <w:r>
        <w:rPr>
          <w:rFonts w:hint="eastAsia" w:ascii="宋体" w:hAnsi="宋体"/>
          <w:sz w:val="24"/>
        </w:rPr>
        <w:t>。</w:t>
      </w:r>
    </w:p>
    <w:p w14:paraId="1920EE85">
      <w:pPr>
        <w:spacing w:line="360" w:lineRule="auto"/>
        <w:jc w:val="center"/>
        <w:rPr>
          <w:rFonts w:hint="eastAsia"/>
          <w:sz w:val="24"/>
        </w:rPr>
      </w:pPr>
      <w:r>
        <w:rPr>
          <w:rFonts w:hint="eastAsia"/>
          <w:sz w:val="24"/>
        </w:rPr>
        <w:t>表</w:t>
      </w:r>
      <w:r>
        <w:rPr>
          <w:rFonts w:hint="eastAsia"/>
          <w:sz w:val="24"/>
          <w:lang w:val="en-US" w:eastAsia="zh-CN"/>
        </w:rPr>
        <w:t>9</w:t>
      </w:r>
      <w:r>
        <w:rPr>
          <w:rFonts w:hint="eastAsia"/>
          <w:sz w:val="24"/>
        </w:rPr>
        <w:t xml:space="preserve"> 仪器</w:t>
      </w:r>
      <w:r>
        <w:rPr>
          <w:sz w:val="24"/>
        </w:rPr>
        <w:t>的计量特性</w:t>
      </w:r>
    </w:p>
    <w:tbl>
      <w:tblPr>
        <w:tblStyle w:val="7"/>
        <w:tblW w:w="88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565"/>
        <w:gridCol w:w="1641"/>
        <w:gridCol w:w="2144"/>
        <w:gridCol w:w="3766"/>
      </w:tblGrid>
      <w:tr w14:paraId="2156D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dxa"/>
            <w:noWrap w:val="0"/>
            <w:vAlign w:val="top"/>
          </w:tcPr>
          <w:p w14:paraId="6B44F89A">
            <w:pPr>
              <w:spacing w:before="156" w:beforeLines="50" w:line="240" w:lineRule="atLeast"/>
              <w:jc w:val="center"/>
              <w:rPr>
                <w:sz w:val="24"/>
              </w:rPr>
            </w:pPr>
            <w:r>
              <w:rPr>
                <w:rFonts w:hint="eastAsia"/>
                <w:sz w:val="24"/>
              </w:rPr>
              <w:t>序号</w:t>
            </w:r>
          </w:p>
        </w:tc>
        <w:tc>
          <w:tcPr>
            <w:tcW w:w="4350" w:type="dxa"/>
            <w:gridSpan w:val="3"/>
            <w:noWrap w:val="0"/>
            <w:vAlign w:val="top"/>
          </w:tcPr>
          <w:p w14:paraId="7C7D8614">
            <w:pPr>
              <w:spacing w:before="156" w:beforeLines="50" w:line="240" w:lineRule="atLeast"/>
              <w:jc w:val="center"/>
              <w:rPr>
                <w:sz w:val="24"/>
              </w:rPr>
            </w:pPr>
            <w:r>
              <w:rPr>
                <w:rFonts w:hint="eastAsia"/>
                <w:sz w:val="24"/>
              </w:rPr>
              <w:t>计量性能</w:t>
            </w:r>
          </w:p>
        </w:tc>
        <w:tc>
          <w:tcPr>
            <w:tcW w:w="3766" w:type="dxa"/>
            <w:noWrap w:val="0"/>
            <w:vAlign w:val="top"/>
          </w:tcPr>
          <w:p w14:paraId="7AF40F6E">
            <w:pPr>
              <w:spacing w:before="156" w:beforeLines="50" w:line="240" w:lineRule="atLeast"/>
              <w:jc w:val="center"/>
              <w:rPr>
                <w:sz w:val="24"/>
              </w:rPr>
            </w:pPr>
            <w:r>
              <w:rPr>
                <w:rFonts w:hint="eastAsia"/>
                <w:sz w:val="24"/>
              </w:rPr>
              <w:t>技术指标</w:t>
            </w:r>
          </w:p>
        </w:tc>
      </w:tr>
      <w:tr w14:paraId="0A093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dxa"/>
            <w:vMerge w:val="restart"/>
            <w:noWrap w:val="0"/>
            <w:vAlign w:val="center"/>
          </w:tcPr>
          <w:p w14:paraId="01C29CD1">
            <w:pPr>
              <w:spacing w:before="156" w:beforeLines="50" w:line="240" w:lineRule="atLeast"/>
              <w:jc w:val="center"/>
              <w:rPr>
                <w:rFonts w:ascii="仿宋_GB2312"/>
                <w:sz w:val="24"/>
              </w:rPr>
            </w:pPr>
            <w:r>
              <w:rPr>
                <w:rFonts w:ascii="仿宋_GB2312"/>
                <w:sz w:val="24"/>
              </w:rPr>
              <w:t>1</w:t>
            </w:r>
          </w:p>
        </w:tc>
        <w:tc>
          <w:tcPr>
            <w:tcW w:w="565" w:type="dxa"/>
            <w:vMerge w:val="restart"/>
            <w:noWrap w:val="0"/>
            <w:vAlign w:val="center"/>
          </w:tcPr>
          <w:p w14:paraId="714D1B1A">
            <w:pPr>
              <w:spacing w:before="156" w:beforeLines="50" w:line="240" w:lineRule="atLeast"/>
              <w:jc w:val="center"/>
              <w:rPr>
                <w:rFonts w:hint="eastAsia" w:ascii="仿宋_GB2312" w:eastAsia="宋体"/>
                <w:sz w:val="24"/>
                <w:lang w:eastAsia="zh-CN"/>
              </w:rPr>
            </w:pPr>
            <w:r>
              <w:rPr>
                <w:rFonts w:hint="eastAsia" w:ascii="仿宋_GB2312"/>
                <w:sz w:val="24"/>
                <w:lang w:eastAsia="zh-CN"/>
              </w:rPr>
              <w:t>整机</w:t>
            </w:r>
          </w:p>
        </w:tc>
        <w:tc>
          <w:tcPr>
            <w:tcW w:w="1641" w:type="dxa"/>
            <w:vMerge w:val="restart"/>
            <w:noWrap w:val="0"/>
            <w:vAlign w:val="center"/>
          </w:tcPr>
          <w:p w14:paraId="294E4302">
            <w:pPr>
              <w:spacing w:before="156" w:beforeLines="50" w:line="240" w:lineRule="atLeast"/>
              <w:jc w:val="center"/>
              <w:rPr>
                <w:rFonts w:ascii="仿宋_GB2312"/>
                <w:sz w:val="24"/>
              </w:rPr>
            </w:pPr>
            <w:r>
              <w:rPr>
                <w:rFonts w:hint="eastAsia" w:ascii="仿宋_GB2312"/>
                <w:sz w:val="24"/>
              </w:rPr>
              <w:t>示值误差（%）</w:t>
            </w:r>
          </w:p>
        </w:tc>
        <w:tc>
          <w:tcPr>
            <w:tcW w:w="2144" w:type="dxa"/>
            <w:noWrap w:val="0"/>
            <w:vAlign w:val="top"/>
          </w:tcPr>
          <w:p w14:paraId="01D7FBA6">
            <w:pPr>
              <w:spacing w:before="156" w:beforeLines="50" w:line="240" w:lineRule="atLeast"/>
              <w:jc w:val="center"/>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≥5%</w:t>
            </w:r>
          </w:p>
        </w:tc>
        <w:tc>
          <w:tcPr>
            <w:tcW w:w="3766" w:type="dxa"/>
            <w:noWrap w:val="0"/>
            <w:vAlign w:val="top"/>
          </w:tcPr>
          <w:p w14:paraId="160C4D05">
            <w:pPr>
              <w:spacing w:before="156" w:beforeLines="50" w:line="240" w:lineRule="atLeast"/>
              <w:jc w:val="center"/>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±2.0</w:t>
            </w:r>
            <w:r>
              <w:rPr>
                <w:rFonts w:hint="eastAsia" w:cs="Times New Roman"/>
                <w:sz w:val="24"/>
                <w:lang w:val="en-US" w:eastAsia="zh-CN"/>
              </w:rPr>
              <w:t>0</w:t>
            </w:r>
            <w:r>
              <w:rPr>
                <w:rFonts w:hint="eastAsia" w:ascii="Times New Roman" w:hAnsi="Times New Roman" w:eastAsia="宋体" w:cs="Times New Roman"/>
                <w:sz w:val="24"/>
                <w:lang w:val="en-US" w:eastAsia="zh-CN"/>
              </w:rPr>
              <w:t>%</w:t>
            </w:r>
          </w:p>
        </w:tc>
      </w:tr>
      <w:tr w14:paraId="7C2FB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dxa"/>
            <w:vMerge w:val="continue"/>
            <w:noWrap w:val="0"/>
            <w:vAlign w:val="center"/>
          </w:tcPr>
          <w:p w14:paraId="65A1C760">
            <w:pPr>
              <w:spacing w:before="156" w:beforeLines="50" w:line="240" w:lineRule="atLeast"/>
              <w:jc w:val="center"/>
              <w:rPr>
                <w:rFonts w:ascii="仿宋_GB2312"/>
                <w:sz w:val="24"/>
              </w:rPr>
            </w:pPr>
          </w:p>
        </w:tc>
        <w:tc>
          <w:tcPr>
            <w:tcW w:w="565" w:type="dxa"/>
            <w:vMerge w:val="continue"/>
            <w:noWrap w:val="0"/>
            <w:vAlign w:val="center"/>
          </w:tcPr>
          <w:p w14:paraId="6D5BA634">
            <w:pPr>
              <w:spacing w:before="156" w:beforeLines="50" w:line="240" w:lineRule="atLeast"/>
              <w:jc w:val="center"/>
              <w:rPr>
                <w:rFonts w:hint="eastAsia" w:ascii="仿宋_GB2312"/>
                <w:sz w:val="24"/>
              </w:rPr>
            </w:pPr>
          </w:p>
        </w:tc>
        <w:tc>
          <w:tcPr>
            <w:tcW w:w="1641" w:type="dxa"/>
            <w:vMerge w:val="continue"/>
            <w:noWrap w:val="0"/>
            <w:vAlign w:val="center"/>
          </w:tcPr>
          <w:p w14:paraId="67A5166D">
            <w:pPr>
              <w:spacing w:before="156" w:beforeLines="50" w:line="240" w:lineRule="atLeast"/>
              <w:jc w:val="center"/>
              <w:rPr>
                <w:rFonts w:hint="eastAsia" w:ascii="仿宋_GB2312"/>
                <w:sz w:val="24"/>
              </w:rPr>
            </w:pPr>
          </w:p>
        </w:tc>
        <w:tc>
          <w:tcPr>
            <w:tcW w:w="2144" w:type="dxa"/>
            <w:noWrap w:val="0"/>
            <w:vAlign w:val="top"/>
          </w:tcPr>
          <w:p w14:paraId="7F728F1F">
            <w:pPr>
              <w:spacing w:before="156" w:beforeLines="50" w:line="240" w:lineRule="atLeast"/>
              <w:jc w:val="center"/>
              <w:rPr>
                <w:rFonts w:hint="eastAsia" w:ascii="Times New Roman" w:hAnsi="Times New Roman" w:eastAsia="宋体" w:cs="Times New Roman"/>
                <w:sz w:val="24"/>
                <w:lang w:val="en-US" w:eastAsia="zh-CN"/>
              </w:rPr>
            </w:pPr>
            <w:r>
              <w:rPr>
                <w:rFonts w:hint="eastAsia" w:cs="Times New Roman"/>
                <w:sz w:val="24"/>
                <w:lang w:val="en-US" w:eastAsia="zh-CN"/>
              </w:rPr>
              <w:t>(</w:t>
            </w:r>
            <w:r>
              <w:rPr>
                <w:rFonts w:hint="default" w:ascii="Times New Roman" w:hAnsi="Times New Roman" w:eastAsia="宋体" w:cs="Times New Roman"/>
                <w:sz w:val="24"/>
                <w:lang w:val="en-US" w:eastAsia="zh-CN"/>
              </w:rPr>
              <w:t>5%~0.2%</w:t>
            </w:r>
            <w:r>
              <w:rPr>
                <w:rFonts w:hint="eastAsia" w:cs="Times New Roman"/>
                <w:sz w:val="24"/>
                <w:lang w:val="en-US" w:eastAsia="zh-CN"/>
              </w:rPr>
              <w:t>)</w:t>
            </w:r>
          </w:p>
        </w:tc>
        <w:tc>
          <w:tcPr>
            <w:tcW w:w="3766" w:type="dxa"/>
            <w:noWrap w:val="0"/>
            <w:vAlign w:val="top"/>
          </w:tcPr>
          <w:p w14:paraId="3031FC5B">
            <w:pPr>
              <w:spacing w:before="156" w:beforeLines="50" w:line="240" w:lineRule="atLeast"/>
              <w:jc w:val="center"/>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±0.2</w:t>
            </w:r>
            <w:r>
              <w:rPr>
                <w:rFonts w:hint="eastAsia" w:cs="Times New Roman"/>
                <w:sz w:val="24"/>
                <w:lang w:val="en-US" w:eastAsia="zh-CN"/>
              </w:rPr>
              <w:t>5</w:t>
            </w:r>
            <w:r>
              <w:rPr>
                <w:rFonts w:hint="eastAsia" w:ascii="Times New Roman" w:hAnsi="Times New Roman" w:eastAsia="宋体" w:cs="Times New Roman"/>
                <w:sz w:val="24"/>
                <w:lang w:val="en-US" w:eastAsia="zh-CN"/>
              </w:rPr>
              <w:t>%</w:t>
            </w:r>
          </w:p>
        </w:tc>
      </w:tr>
      <w:tr w14:paraId="6076F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dxa"/>
            <w:vMerge w:val="continue"/>
            <w:noWrap w:val="0"/>
            <w:vAlign w:val="center"/>
          </w:tcPr>
          <w:p w14:paraId="46BE6D0F">
            <w:pPr>
              <w:spacing w:before="156" w:beforeLines="50" w:line="240" w:lineRule="atLeast"/>
              <w:jc w:val="center"/>
              <w:rPr>
                <w:rFonts w:ascii="仿宋_GB2312"/>
                <w:sz w:val="24"/>
              </w:rPr>
            </w:pPr>
          </w:p>
        </w:tc>
        <w:tc>
          <w:tcPr>
            <w:tcW w:w="565" w:type="dxa"/>
            <w:vMerge w:val="continue"/>
            <w:noWrap w:val="0"/>
            <w:vAlign w:val="center"/>
          </w:tcPr>
          <w:p w14:paraId="64B1B44E">
            <w:pPr>
              <w:spacing w:before="156" w:beforeLines="50" w:line="240" w:lineRule="atLeast"/>
              <w:jc w:val="center"/>
              <w:rPr>
                <w:rFonts w:hint="eastAsia" w:ascii="仿宋_GB2312"/>
                <w:sz w:val="24"/>
              </w:rPr>
            </w:pPr>
          </w:p>
        </w:tc>
        <w:tc>
          <w:tcPr>
            <w:tcW w:w="1641" w:type="dxa"/>
            <w:vMerge w:val="continue"/>
            <w:noWrap w:val="0"/>
            <w:vAlign w:val="center"/>
          </w:tcPr>
          <w:p w14:paraId="27818633">
            <w:pPr>
              <w:spacing w:before="156" w:beforeLines="50" w:line="240" w:lineRule="atLeast"/>
              <w:jc w:val="center"/>
              <w:rPr>
                <w:rFonts w:hint="eastAsia" w:ascii="仿宋_GB2312"/>
                <w:sz w:val="24"/>
              </w:rPr>
            </w:pPr>
          </w:p>
        </w:tc>
        <w:tc>
          <w:tcPr>
            <w:tcW w:w="2144" w:type="dxa"/>
            <w:noWrap w:val="0"/>
            <w:vAlign w:val="top"/>
          </w:tcPr>
          <w:p w14:paraId="5BBC5944">
            <w:pPr>
              <w:spacing w:before="156" w:beforeLines="50" w:line="240" w:lineRule="atLeast"/>
              <w:jc w:val="center"/>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≤0.2%</w:t>
            </w:r>
          </w:p>
        </w:tc>
        <w:tc>
          <w:tcPr>
            <w:tcW w:w="3766" w:type="dxa"/>
            <w:noWrap w:val="0"/>
            <w:vAlign w:val="top"/>
          </w:tcPr>
          <w:p w14:paraId="6F4638D6">
            <w:pPr>
              <w:spacing w:before="156" w:beforeLines="50" w:line="240" w:lineRule="atLeast"/>
              <w:jc w:val="center"/>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±0.0</w:t>
            </w:r>
            <w:r>
              <w:rPr>
                <w:rFonts w:hint="eastAsia" w:cs="Times New Roman"/>
                <w:sz w:val="24"/>
                <w:lang w:val="en-US" w:eastAsia="zh-CN"/>
              </w:rPr>
              <w:t>5</w:t>
            </w:r>
            <w:r>
              <w:rPr>
                <w:rFonts w:hint="eastAsia" w:ascii="Times New Roman" w:hAnsi="Times New Roman" w:eastAsia="宋体" w:cs="Times New Roman"/>
                <w:sz w:val="24"/>
                <w:lang w:val="en-US" w:eastAsia="zh-CN"/>
              </w:rPr>
              <w:t>%</w:t>
            </w:r>
          </w:p>
        </w:tc>
      </w:tr>
      <w:tr w14:paraId="39C76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dxa"/>
            <w:vMerge w:val="continue"/>
            <w:noWrap w:val="0"/>
            <w:vAlign w:val="top"/>
          </w:tcPr>
          <w:p w14:paraId="7FBF83BD">
            <w:pPr>
              <w:spacing w:before="156" w:beforeLines="50" w:line="240" w:lineRule="atLeast"/>
              <w:jc w:val="center"/>
              <w:rPr>
                <w:rFonts w:eastAsia="黑体"/>
                <w:sz w:val="24"/>
              </w:rPr>
            </w:pPr>
          </w:p>
        </w:tc>
        <w:tc>
          <w:tcPr>
            <w:tcW w:w="565" w:type="dxa"/>
            <w:vMerge w:val="continue"/>
            <w:noWrap w:val="0"/>
            <w:vAlign w:val="top"/>
          </w:tcPr>
          <w:p w14:paraId="7D624A75">
            <w:pPr>
              <w:spacing w:before="156" w:beforeLines="50" w:line="240" w:lineRule="atLeast"/>
              <w:jc w:val="center"/>
              <w:rPr>
                <w:rFonts w:eastAsia="黑体"/>
                <w:sz w:val="24"/>
              </w:rPr>
            </w:pPr>
          </w:p>
        </w:tc>
        <w:tc>
          <w:tcPr>
            <w:tcW w:w="1641" w:type="dxa"/>
            <w:vMerge w:val="restart"/>
            <w:noWrap w:val="0"/>
            <w:vAlign w:val="top"/>
          </w:tcPr>
          <w:p w14:paraId="106278F7">
            <w:pPr>
              <w:spacing w:before="156" w:beforeLines="50" w:line="240" w:lineRule="atLeast"/>
              <w:jc w:val="center"/>
              <w:rPr>
                <w:rFonts w:eastAsia="黑体"/>
                <w:sz w:val="24"/>
              </w:rPr>
            </w:pPr>
            <w:r>
              <w:rPr>
                <w:rFonts w:hint="eastAsia" w:ascii="仿宋_GB2312"/>
                <w:sz w:val="24"/>
              </w:rPr>
              <w:t>测量重复性（%）</w:t>
            </w:r>
          </w:p>
        </w:tc>
        <w:tc>
          <w:tcPr>
            <w:tcW w:w="2144" w:type="dxa"/>
            <w:noWrap w:val="0"/>
            <w:vAlign w:val="top"/>
          </w:tcPr>
          <w:p w14:paraId="30B422AF">
            <w:pPr>
              <w:spacing w:before="156" w:beforeLines="50" w:line="240" w:lineRule="atLeast"/>
              <w:jc w:val="center"/>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≥5%</w:t>
            </w:r>
          </w:p>
        </w:tc>
        <w:tc>
          <w:tcPr>
            <w:tcW w:w="3766" w:type="dxa"/>
            <w:noWrap w:val="0"/>
            <w:vAlign w:val="top"/>
          </w:tcPr>
          <w:p w14:paraId="44539AA8">
            <w:pPr>
              <w:spacing w:before="156" w:beforeLines="50" w:line="240" w:lineRule="atLeast"/>
              <w:jc w:val="center"/>
              <w:rPr>
                <w:rFonts w:hint="default" w:ascii="Times New Roman" w:hAnsi="Times New Roman" w:eastAsia="宋体" w:cs="Times New Roman"/>
                <w:sz w:val="24"/>
                <w:lang w:val="en-US" w:eastAsia="zh-CN"/>
              </w:rPr>
            </w:pPr>
            <w:r>
              <w:rPr>
                <w:rFonts w:hint="eastAsia" w:cs="Times New Roman"/>
                <w:sz w:val="24"/>
                <w:lang w:val="en-US" w:eastAsia="zh-CN"/>
              </w:rPr>
              <w:t>1.00</w:t>
            </w:r>
            <w:r>
              <w:rPr>
                <w:rFonts w:hint="eastAsia" w:ascii="Times New Roman" w:hAnsi="Times New Roman" w:eastAsia="宋体" w:cs="Times New Roman"/>
                <w:sz w:val="24"/>
                <w:lang w:val="en-US" w:eastAsia="zh-CN"/>
              </w:rPr>
              <w:t>%</w:t>
            </w:r>
          </w:p>
        </w:tc>
      </w:tr>
      <w:tr w14:paraId="11BCC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dxa"/>
            <w:vMerge w:val="continue"/>
            <w:noWrap w:val="0"/>
            <w:vAlign w:val="top"/>
          </w:tcPr>
          <w:p w14:paraId="0B6766D6">
            <w:pPr>
              <w:spacing w:before="156" w:beforeLines="50" w:line="240" w:lineRule="atLeast"/>
              <w:jc w:val="center"/>
              <w:rPr>
                <w:rFonts w:eastAsia="黑体"/>
                <w:sz w:val="24"/>
              </w:rPr>
            </w:pPr>
          </w:p>
        </w:tc>
        <w:tc>
          <w:tcPr>
            <w:tcW w:w="565" w:type="dxa"/>
            <w:vMerge w:val="continue"/>
            <w:noWrap w:val="0"/>
            <w:vAlign w:val="top"/>
          </w:tcPr>
          <w:p w14:paraId="475B52AC">
            <w:pPr>
              <w:spacing w:before="156" w:beforeLines="50" w:line="240" w:lineRule="atLeast"/>
              <w:jc w:val="center"/>
              <w:rPr>
                <w:rFonts w:eastAsia="黑体"/>
                <w:sz w:val="24"/>
              </w:rPr>
            </w:pPr>
          </w:p>
        </w:tc>
        <w:tc>
          <w:tcPr>
            <w:tcW w:w="1641" w:type="dxa"/>
            <w:vMerge w:val="continue"/>
            <w:noWrap w:val="0"/>
            <w:vAlign w:val="top"/>
          </w:tcPr>
          <w:p w14:paraId="6D0D43BF">
            <w:pPr>
              <w:spacing w:before="156" w:beforeLines="50" w:line="240" w:lineRule="atLeast"/>
              <w:jc w:val="center"/>
              <w:rPr>
                <w:rFonts w:eastAsia="黑体"/>
                <w:sz w:val="24"/>
              </w:rPr>
            </w:pPr>
          </w:p>
        </w:tc>
        <w:tc>
          <w:tcPr>
            <w:tcW w:w="2144" w:type="dxa"/>
            <w:noWrap w:val="0"/>
            <w:vAlign w:val="top"/>
          </w:tcPr>
          <w:p w14:paraId="4DCD302D">
            <w:pPr>
              <w:spacing w:before="156" w:beforeLines="50" w:line="240" w:lineRule="atLeast"/>
              <w:jc w:val="center"/>
              <w:rPr>
                <w:rFonts w:hint="eastAsia" w:ascii="Times New Roman" w:hAnsi="Times New Roman" w:eastAsia="宋体" w:cs="Times New Roman"/>
                <w:sz w:val="24"/>
                <w:lang w:val="en-US" w:eastAsia="zh-CN"/>
              </w:rPr>
            </w:pPr>
            <w:r>
              <w:rPr>
                <w:rFonts w:hint="eastAsia" w:cs="Times New Roman"/>
                <w:sz w:val="24"/>
                <w:lang w:val="en-US" w:eastAsia="zh-CN"/>
              </w:rPr>
              <w:t>(</w:t>
            </w:r>
            <w:r>
              <w:rPr>
                <w:rFonts w:hint="default" w:ascii="Times New Roman" w:hAnsi="Times New Roman" w:eastAsia="宋体" w:cs="Times New Roman"/>
                <w:sz w:val="24"/>
                <w:lang w:val="en-US" w:eastAsia="zh-CN"/>
              </w:rPr>
              <w:t>5%~0.2%</w:t>
            </w:r>
            <w:r>
              <w:rPr>
                <w:rFonts w:hint="eastAsia" w:cs="Times New Roman"/>
                <w:sz w:val="24"/>
                <w:lang w:val="en-US" w:eastAsia="zh-CN"/>
              </w:rPr>
              <w:t>)</w:t>
            </w:r>
          </w:p>
        </w:tc>
        <w:tc>
          <w:tcPr>
            <w:tcW w:w="3766" w:type="dxa"/>
            <w:noWrap w:val="0"/>
            <w:vAlign w:val="top"/>
          </w:tcPr>
          <w:p w14:paraId="04C35FE7">
            <w:pPr>
              <w:spacing w:before="156" w:beforeLines="50" w:line="240" w:lineRule="atLeast"/>
              <w:jc w:val="center"/>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0.</w:t>
            </w:r>
            <w:r>
              <w:rPr>
                <w:rFonts w:hint="eastAsia" w:cs="Times New Roman"/>
                <w:sz w:val="24"/>
                <w:lang w:val="en-US" w:eastAsia="zh-CN"/>
              </w:rPr>
              <w:t>20</w:t>
            </w:r>
            <w:r>
              <w:rPr>
                <w:rFonts w:hint="eastAsia" w:ascii="Times New Roman" w:hAnsi="Times New Roman" w:eastAsia="宋体" w:cs="Times New Roman"/>
                <w:sz w:val="24"/>
                <w:lang w:val="en-US" w:eastAsia="zh-CN"/>
              </w:rPr>
              <w:t>%</w:t>
            </w:r>
          </w:p>
        </w:tc>
      </w:tr>
      <w:tr w14:paraId="53DFD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 w:type="dxa"/>
            <w:vMerge w:val="continue"/>
            <w:noWrap w:val="0"/>
            <w:vAlign w:val="top"/>
          </w:tcPr>
          <w:p w14:paraId="073F4939">
            <w:pPr>
              <w:spacing w:before="156" w:beforeLines="50" w:line="240" w:lineRule="atLeast"/>
              <w:jc w:val="center"/>
              <w:rPr>
                <w:rFonts w:eastAsia="黑体"/>
                <w:sz w:val="24"/>
              </w:rPr>
            </w:pPr>
          </w:p>
        </w:tc>
        <w:tc>
          <w:tcPr>
            <w:tcW w:w="565" w:type="dxa"/>
            <w:vMerge w:val="continue"/>
            <w:noWrap w:val="0"/>
            <w:vAlign w:val="top"/>
          </w:tcPr>
          <w:p w14:paraId="2D87A9FE">
            <w:pPr>
              <w:spacing w:before="156" w:beforeLines="50" w:line="240" w:lineRule="atLeast"/>
              <w:jc w:val="center"/>
              <w:rPr>
                <w:rFonts w:eastAsia="黑体"/>
                <w:sz w:val="24"/>
              </w:rPr>
            </w:pPr>
          </w:p>
        </w:tc>
        <w:tc>
          <w:tcPr>
            <w:tcW w:w="1641" w:type="dxa"/>
            <w:vMerge w:val="continue"/>
            <w:noWrap w:val="0"/>
            <w:vAlign w:val="top"/>
          </w:tcPr>
          <w:p w14:paraId="2F22FDA8">
            <w:pPr>
              <w:spacing w:before="156" w:beforeLines="50" w:line="240" w:lineRule="atLeast"/>
              <w:jc w:val="center"/>
              <w:rPr>
                <w:rFonts w:eastAsia="黑体"/>
                <w:sz w:val="24"/>
              </w:rPr>
            </w:pPr>
          </w:p>
        </w:tc>
        <w:tc>
          <w:tcPr>
            <w:tcW w:w="2144" w:type="dxa"/>
            <w:noWrap w:val="0"/>
            <w:vAlign w:val="top"/>
          </w:tcPr>
          <w:p w14:paraId="5FBCC86E">
            <w:pPr>
              <w:spacing w:before="156" w:beforeLines="50" w:line="240" w:lineRule="atLeast"/>
              <w:jc w:val="center"/>
              <w:rPr>
                <w:rFonts w:hint="eastAsia"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≤0.2%</w:t>
            </w:r>
          </w:p>
        </w:tc>
        <w:tc>
          <w:tcPr>
            <w:tcW w:w="3766" w:type="dxa"/>
            <w:noWrap w:val="0"/>
            <w:vAlign w:val="top"/>
          </w:tcPr>
          <w:p w14:paraId="3CB88992">
            <w:pPr>
              <w:spacing w:before="156" w:beforeLines="50" w:line="240" w:lineRule="atLeast"/>
              <w:jc w:val="center"/>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0.0</w:t>
            </w:r>
            <w:r>
              <w:rPr>
                <w:rFonts w:hint="eastAsia" w:cs="Times New Roman"/>
                <w:sz w:val="24"/>
                <w:lang w:val="en-US" w:eastAsia="zh-CN"/>
              </w:rPr>
              <w:t>3</w:t>
            </w:r>
            <w:r>
              <w:rPr>
                <w:rFonts w:hint="eastAsia" w:ascii="Times New Roman" w:hAnsi="Times New Roman" w:eastAsia="宋体" w:cs="Times New Roman"/>
                <w:sz w:val="24"/>
                <w:lang w:val="en-US" w:eastAsia="zh-CN"/>
              </w:rPr>
              <w:t>%</w:t>
            </w:r>
          </w:p>
        </w:tc>
      </w:tr>
      <w:tr w14:paraId="2DB95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8864" w:type="dxa"/>
            <w:gridSpan w:val="5"/>
            <w:noWrap w:val="0"/>
            <w:vAlign w:val="top"/>
          </w:tcPr>
          <w:p w14:paraId="59F8BB87">
            <w:pPr>
              <w:spacing w:before="156" w:beforeLines="50" w:line="240" w:lineRule="atLeast"/>
              <w:rPr>
                <w:rFonts w:hint="eastAsia" w:ascii="仿宋_GB2312"/>
                <w:sz w:val="24"/>
              </w:rPr>
            </w:pPr>
            <w:r>
              <w:rPr>
                <w:rFonts w:hint="eastAsia" w:eastAsia="仿宋_GB2312"/>
                <w:color w:val="000000"/>
                <w:szCs w:val="21"/>
              </w:rPr>
              <w:t>注：</w:t>
            </w:r>
            <w:r>
              <w:rPr>
                <w:rFonts w:eastAsia="仿宋_GB2312"/>
                <w:color w:val="000000"/>
                <w:szCs w:val="21"/>
              </w:rPr>
              <w:t>以上指标不用于合格性判定，仅供参考。</w:t>
            </w:r>
          </w:p>
        </w:tc>
      </w:tr>
    </w:tbl>
    <w:p w14:paraId="0EB89A96">
      <w:pPr>
        <w:numPr>
          <w:numId w:val="0"/>
        </w:numPr>
        <w:autoSpaceDE w:val="0"/>
        <w:autoSpaceDN w:val="0"/>
        <w:adjustRightInd w:val="0"/>
        <w:spacing w:line="500" w:lineRule="exact"/>
        <w:ind w:left="461" w:leftChars="0"/>
        <w:rPr>
          <w:rFonts w:hint="eastAsia" w:ascii="宋体" w:hAnsi="宋体"/>
          <w:sz w:val="24"/>
        </w:rPr>
      </w:pPr>
      <w:r>
        <w:rPr>
          <w:rFonts w:hint="eastAsia" w:ascii="宋体" w:hAnsi="宋体"/>
          <w:sz w:val="24"/>
          <w:lang w:val="en-US" w:eastAsia="zh-CN"/>
        </w:rPr>
        <w:t>3、</w:t>
      </w:r>
      <w:r>
        <w:rPr>
          <w:rFonts w:ascii="宋体" w:hAnsi="宋体"/>
          <w:sz w:val="24"/>
        </w:rPr>
        <w:t>箱体</w:t>
      </w:r>
      <w:r>
        <w:rPr>
          <w:rFonts w:hint="eastAsia" w:ascii="宋体" w:hAnsi="宋体"/>
          <w:sz w:val="24"/>
        </w:rPr>
        <w:t>温度</w:t>
      </w:r>
      <w:r>
        <w:rPr>
          <w:rFonts w:ascii="宋体" w:hAnsi="宋体"/>
          <w:sz w:val="24"/>
        </w:rPr>
        <w:t>校准</w:t>
      </w:r>
    </w:p>
    <w:p w14:paraId="0A2A9049">
      <w:pPr>
        <w:keepNext w:val="0"/>
        <w:keepLines w:val="0"/>
        <w:pageBreakBefore w:val="0"/>
        <w:widowControl w:val="0"/>
        <w:tabs>
          <w:tab w:val="left" w:pos="817"/>
        </w:tabs>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sz w:val="24"/>
          <w:lang w:val="en-US" w:eastAsia="zh-CN"/>
        </w:rPr>
      </w:pPr>
      <w:r>
        <w:rPr>
          <w:rFonts w:hint="eastAsia" w:ascii="宋体" w:hAnsi="宋体"/>
          <w:sz w:val="24"/>
          <w:lang w:eastAsia="zh-CN"/>
        </w:rPr>
        <w:t>经过报审稿的评审，箱体</w:t>
      </w:r>
      <w:r>
        <w:rPr>
          <w:rFonts w:hint="eastAsia" w:ascii="宋体" w:hAnsi="宋体"/>
          <w:sz w:val="24"/>
          <w:lang w:val="en-US" w:eastAsia="zh-CN"/>
        </w:rPr>
        <w:t>温度示值误差均太大，经过评审老师商议，将箱体作为选做项，在整机示值误差和重复性不满足计量特性要求时可以选做箱体温度，因为箱体温度的误差和均匀性稳定性与整机的计量特性存在相关性，故将11个生产厂家13台仪器的温度数据进行统计，并将统计结果统计后得出计量特性。</w:t>
      </w:r>
      <w:r>
        <w:rPr>
          <w:rFonts w:hint="eastAsia" w:ascii="宋体" w:hAnsi="宋体"/>
          <w:sz w:val="24"/>
          <w:lang w:eastAsia="zh-CN"/>
        </w:rPr>
        <w:t>目前已有的温度示值误差</w:t>
      </w:r>
      <w:r>
        <w:rPr>
          <w:rFonts w:hint="eastAsia" w:ascii="宋体" w:hAnsi="宋体"/>
          <w:sz w:val="24"/>
          <w:lang w:val="en-US" w:eastAsia="zh-CN"/>
        </w:rPr>
        <w:t>13组</w:t>
      </w:r>
      <w:r>
        <w:rPr>
          <w:rFonts w:hint="eastAsia" w:ascii="宋体" w:hAnsi="宋体"/>
          <w:sz w:val="24"/>
          <w:lang w:eastAsia="zh-CN"/>
        </w:rPr>
        <w:t>、温度均匀度数据</w:t>
      </w:r>
      <w:r>
        <w:rPr>
          <w:rFonts w:hint="eastAsia" w:ascii="宋体" w:hAnsi="宋体"/>
          <w:sz w:val="24"/>
          <w:lang w:val="en-US" w:eastAsia="zh-CN"/>
        </w:rPr>
        <w:t>18组，温度稳定度78组，13台仪器生产厂分别为日本田中、庆阳戴瑞特石油仪器有限公司、辽宁华科仪器有限公司、美国Alcor、深圳联合嘉利、北京得利特、大连石油仪器有限公司、大连邦能仪器有限公司、大连北方分析仪器厂、大连远东兴仪器有限公司。现在很多仪器有温度修正功能，也有没有修正功能的。</w:t>
      </w:r>
      <w:r>
        <w:rPr>
          <w:rFonts w:hint="eastAsia" w:ascii="宋体" w:hAnsi="宋体"/>
          <w:sz w:val="24"/>
          <w:lang w:eastAsia="zh-CN"/>
        </w:rPr>
        <w:t>箱体温度</w:t>
      </w:r>
      <w:r>
        <w:rPr>
          <w:rFonts w:hint="eastAsia" w:ascii="宋体" w:hAnsi="宋体"/>
          <w:sz w:val="24"/>
          <w:lang w:val="en-US" w:eastAsia="zh-CN"/>
        </w:rPr>
        <w:t>均匀度统计结果见表4，箱体稳定度统计结果见表5，示值误差统计结果见表6，</w:t>
      </w:r>
      <w:r>
        <w:rPr>
          <w:rFonts w:hint="eastAsia" w:ascii="宋体" w:hAnsi="宋体"/>
          <w:sz w:val="24"/>
          <w:lang w:eastAsia="zh-CN"/>
        </w:rPr>
        <w:t>箱体温度计量特性统计结果见表</w:t>
      </w:r>
      <w:r>
        <w:rPr>
          <w:rFonts w:hint="eastAsia" w:ascii="宋体" w:hAnsi="宋体"/>
          <w:sz w:val="24"/>
          <w:lang w:val="en-US" w:eastAsia="zh-CN"/>
        </w:rPr>
        <w:t>7。其中数据先进行</w:t>
      </w:r>
      <w:r>
        <w:rPr>
          <w:rFonts w:hint="eastAsia" w:ascii="宋体" w:hAnsi="宋体"/>
          <w:sz w:val="24"/>
        </w:rPr>
        <w:t>格拉布斯法</w:t>
      </w:r>
      <w:r>
        <w:rPr>
          <w:rFonts w:hint="eastAsia" w:ascii="宋体" w:hAnsi="宋体"/>
          <w:sz w:val="24"/>
          <w:lang w:eastAsia="zh-CN"/>
        </w:rPr>
        <w:t>排除异常值，其中示值误差排除</w:t>
      </w:r>
      <w:r>
        <w:rPr>
          <w:rFonts w:hint="eastAsia" w:ascii="宋体" w:hAnsi="宋体"/>
          <w:sz w:val="24"/>
          <w:lang w:val="en-US" w:eastAsia="zh-CN"/>
        </w:rPr>
        <w:t>1个异常值，其它数据没有异常值。然后进行夏皮罗-威尔克进行正态分布检验，其中稳定度的数据量较大使用的是爱泼斯-普利，均符合正态性。</w:t>
      </w:r>
    </w:p>
    <w:p w14:paraId="6930449B">
      <w:pPr>
        <w:keepNext w:val="0"/>
        <w:keepLines w:val="0"/>
        <w:pageBreakBefore w:val="0"/>
        <w:widowControl w:val="0"/>
        <w:tabs>
          <w:tab w:val="left" w:pos="817"/>
        </w:tabs>
        <w:kinsoku/>
        <w:wordWrap/>
        <w:overflowPunct/>
        <w:topLinePunct w:val="0"/>
        <w:autoSpaceDE w:val="0"/>
        <w:autoSpaceDN w:val="0"/>
        <w:bidi w:val="0"/>
        <w:adjustRightInd w:val="0"/>
        <w:snapToGrid/>
        <w:spacing w:line="360" w:lineRule="auto"/>
        <w:ind w:firstLine="480" w:firstLineChars="200"/>
        <w:jc w:val="both"/>
        <w:textAlignment w:val="auto"/>
        <w:rPr>
          <w:rFonts w:hint="default" w:ascii="宋体" w:hAnsi="宋体" w:eastAsia="宋体"/>
          <w:sz w:val="24"/>
          <w:lang w:val="en-US" w:eastAsia="zh-CN"/>
        </w:rPr>
      </w:pPr>
      <w:r>
        <w:rPr>
          <w:rFonts w:hint="eastAsia" w:ascii="宋体" w:hAnsi="宋体"/>
          <w:sz w:val="24"/>
          <w:lang w:val="en-US" w:eastAsia="zh-CN"/>
        </w:rPr>
        <w:t>按照测试数据得出的结果与残炭测试国标方法对残炭的要求差距较大，根据反复噶</w:t>
      </w:r>
      <w:r>
        <w:rPr>
          <w:rFonts w:hint="eastAsia" w:ascii="宋体" w:cs="宋体"/>
          <w:color w:val="000000"/>
          <w:kern w:val="0"/>
          <w:sz w:val="24"/>
        </w:rPr>
        <w:t>GB/T17144</w:t>
      </w:r>
      <w:r>
        <w:rPr>
          <w:rFonts w:ascii="宋体" w:cs="宋体"/>
          <w:color w:val="000000"/>
          <w:kern w:val="0"/>
          <w:sz w:val="24"/>
        </w:rPr>
        <w:t>-2021</w:t>
      </w:r>
      <w:r>
        <w:rPr>
          <w:rFonts w:hint="eastAsia" w:ascii="宋体" w:cs="宋体"/>
          <w:color w:val="000000"/>
          <w:kern w:val="0"/>
          <w:sz w:val="24"/>
        </w:rPr>
        <w:t>《石油产品残炭测定法（微量法）》</w:t>
      </w:r>
      <w:r>
        <w:rPr>
          <w:rFonts w:hint="eastAsia" w:ascii="宋体" w:cs="宋体"/>
          <w:color w:val="000000"/>
          <w:kern w:val="0"/>
          <w:sz w:val="24"/>
          <w:lang w:eastAsia="zh-CN"/>
        </w:rPr>
        <w:t>中对于温度的要求，成焦炉的温度要能在</w:t>
      </w:r>
      <w:r>
        <w:rPr>
          <w:rFonts w:hint="eastAsia" w:ascii="宋体" w:cs="宋体"/>
          <w:color w:val="000000"/>
          <w:kern w:val="0"/>
          <w:sz w:val="24"/>
          <w:lang w:val="en-US" w:eastAsia="zh-CN"/>
        </w:rPr>
        <w:t>15分钟内保持在500℃±2℃，但是现实测试很多仪器达不到，温度的高低预测试的样品含碳量呈现不规则相关，原因是各个厂家校准成焦箱的方法并不一致所致。</w:t>
      </w:r>
      <w:bookmarkStart w:id="29" w:name="_GoBack"/>
      <w:bookmarkEnd w:id="29"/>
    </w:p>
    <w:p w14:paraId="567944BD">
      <w:pPr>
        <w:tabs>
          <w:tab w:val="left" w:pos="817"/>
        </w:tabs>
        <w:autoSpaceDE w:val="0"/>
        <w:autoSpaceDN w:val="0"/>
        <w:adjustRightInd w:val="0"/>
        <w:spacing w:line="500" w:lineRule="exact"/>
        <w:jc w:val="center"/>
        <w:rPr>
          <w:rFonts w:hint="eastAsia" w:ascii="宋体" w:hAnsi="宋体"/>
          <w:sz w:val="24"/>
          <w:lang w:eastAsia="zh-CN"/>
        </w:rPr>
      </w:pPr>
      <w:r>
        <w:rPr>
          <w:rFonts w:hint="eastAsia" w:ascii="宋体" w:hAnsi="宋体"/>
          <w:sz w:val="24"/>
        </w:rPr>
        <w:t>表</w:t>
      </w:r>
      <w:r>
        <w:rPr>
          <w:rFonts w:hint="eastAsia" w:ascii="宋体" w:hAnsi="宋体"/>
          <w:sz w:val="24"/>
          <w:lang w:val="en-US" w:eastAsia="zh-CN"/>
        </w:rPr>
        <w:t xml:space="preserve">4 </w:t>
      </w:r>
      <w:r>
        <w:rPr>
          <w:rFonts w:hint="eastAsia" w:ascii="宋体" w:hAnsi="宋体"/>
          <w:sz w:val="24"/>
          <w:lang w:eastAsia="zh-CN"/>
        </w:rPr>
        <w:t>箱体温度均匀度统计结果</w:t>
      </w:r>
      <w:r>
        <w:rPr>
          <w:rFonts w:hint="eastAsia" w:ascii="宋体" w:hAnsi="宋体"/>
          <w:sz w:val="24"/>
          <w:lang w:eastAsia="zh-CN"/>
        </w:rPr>
        <w:tab/>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0AF3A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noWrap w:val="0"/>
            <w:vAlign w:val="center"/>
          </w:tcPr>
          <w:p w14:paraId="66826D8F">
            <w:pPr>
              <w:jc w:val="center"/>
              <w:rPr>
                <w:b/>
                <w:bCs/>
              </w:rPr>
            </w:pPr>
            <w:r>
              <w:rPr>
                <w:rFonts w:hint="eastAsia"/>
                <w:b/>
                <w:bCs/>
                <w:lang w:eastAsia="zh-CN"/>
              </w:rPr>
              <w:t>均匀度</w:t>
            </w:r>
            <w:r>
              <w:rPr>
                <w:rFonts w:hint="eastAsia" w:ascii="Times New Roman" w:hAnsi="Times New Roman" w:eastAsia="宋体" w:cs="Times New Roman"/>
                <w:b/>
                <w:bCs/>
                <w:lang w:val="en-US" w:eastAsia="zh-CN"/>
              </w:rPr>
              <w:t>Δθ</w:t>
            </w:r>
            <w:r>
              <w:rPr>
                <w:b/>
                <w:bCs/>
              </w:rPr>
              <w:t>/</w:t>
            </w:r>
            <w:r>
              <w:rPr>
                <w:rFonts w:hint="eastAsia" w:ascii="Times New Roman" w:hAnsi="Times New Roman" w:eastAsia="宋体" w:cs="Times New Roman"/>
                <w:b/>
                <w:bCs/>
                <w:lang w:val="en-US" w:eastAsia="zh-CN"/>
              </w:rPr>
              <w:t>℃</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30B86D1C">
            <w:pPr>
              <w:jc w:val="center"/>
              <w:rPr>
                <w:b/>
                <w:bCs/>
              </w:rPr>
            </w:pPr>
            <w:r>
              <w:rPr>
                <w:rFonts w:hint="eastAsia"/>
                <w:b/>
                <w:bCs/>
              </w:rPr>
              <w:t>出现次数</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5F7AEB1A">
            <w:pPr>
              <w:jc w:val="center"/>
              <w:rPr>
                <w:b/>
                <w:bCs/>
              </w:rPr>
            </w:pPr>
            <w:r>
              <w:rPr>
                <w:rFonts w:hint="eastAsia"/>
                <w:b/>
                <w:bCs/>
              </w:rPr>
              <w:t>出现概率</w:t>
            </w:r>
          </w:p>
        </w:tc>
      </w:tr>
      <w:tr w14:paraId="5C6BF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noWrap w:val="0"/>
            <w:vAlign w:val="center"/>
          </w:tcPr>
          <w:p w14:paraId="5E3875D5">
            <w:pPr>
              <w:jc w:val="center"/>
              <w:rPr>
                <w:rFonts w:hint="default" w:eastAsia="宋体"/>
                <w:b/>
                <w:bCs/>
                <w:lang w:val="en-US" w:eastAsia="zh-CN"/>
              </w:rPr>
            </w:pPr>
            <w:r>
              <w:rPr>
                <w:rFonts w:hint="eastAsia" w:ascii="Times New Roman" w:hAnsi="Times New Roman" w:eastAsia="宋体" w:cs="Times New Roman"/>
                <w:b/>
                <w:bCs/>
                <w:lang w:val="en-US" w:eastAsia="zh-CN"/>
              </w:rPr>
              <w:t>Δθ</w:t>
            </w:r>
            <w:r>
              <w:rPr>
                <w:b/>
                <w:bCs/>
              </w:rPr>
              <w:t>≤</w:t>
            </w:r>
            <w:r>
              <w:rPr>
                <w:rFonts w:hint="eastAsia"/>
                <w:b/>
                <w:bCs/>
                <w:lang w:val="en-US" w:eastAsia="zh-CN"/>
              </w:rPr>
              <w:t>10.0</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2CD1671F">
            <w:pPr>
              <w:jc w:val="center"/>
              <w:rPr>
                <w:rFonts w:hint="default" w:eastAsia="宋体"/>
                <w:b/>
                <w:bCs/>
                <w:lang w:val="en-US" w:eastAsia="zh-CN"/>
              </w:rPr>
            </w:pPr>
            <w:r>
              <w:rPr>
                <w:rFonts w:hint="eastAsia"/>
                <w:b/>
                <w:bCs/>
                <w:lang w:val="en-US" w:eastAsia="zh-CN"/>
              </w:rPr>
              <w:t>13</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2F9FA91D">
            <w:pPr>
              <w:jc w:val="center"/>
              <w:rPr>
                <w:rFonts w:hint="default" w:eastAsia="宋体"/>
                <w:b/>
                <w:bCs/>
                <w:lang w:val="en-US" w:eastAsia="zh-CN"/>
              </w:rPr>
            </w:pPr>
            <w:r>
              <w:rPr>
                <w:rFonts w:hint="eastAsia"/>
                <w:b/>
                <w:bCs/>
                <w:lang w:val="en-US" w:eastAsia="zh-CN"/>
              </w:rPr>
              <w:t>72.22%</w:t>
            </w:r>
          </w:p>
        </w:tc>
      </w:tr>
      <w:tr w14:paraId="29FCA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noWrap w:val="0"/>
            <w:vAlign w:val="center"/>
          </w:tcPr>
          <w:p w14:paraId="671CCF28">
            <w:pPr>
              <w:jc w:val="center"/>
              <w:rPr>
                <w:rFonts w:hint="default" w:eastAsia="宋体"/>
                <w:b/>
                <w:bCs/>
                <w:lang w:val="en-US" w:eastAsia="zh-CN"/>
              </w:rPr>
            </w:pPr>
            <w:r>
              <w:rPr>
                <w:rFonts w:hint="eastAsia"/>
                <w:b/>
                <w:bCs/>
                <w:lang w:val="en-US" w:eastAsia="zh-CN"/>
              </w:rPr>
              <w:t>10.0</w:t>
            </w:r>
            <w:r>
              <w:rPr>
                <w:rFonts w:hint="eastAsia"/>
                <w:b/>
                <w:bCs/>
              </w:rPr>
              <w:t>&lt;</w:t>
            </w:r>
            <w:r>
              <w:rPr>
                <w:rFonts w:hint="eastAsia" w:ascii="Times New Roman" w:hAnsi="Times New Roman" w:eastAsia="宋体" w:cs="Times New Roman"/>
                <w:b/>
                <w:bCs/>
                <w:lang w:val="en-US" w:eastAsia="zh-CN"/>
              </w:rPr>
              <w:t>Δθ</w:t>
            </w:r>
            <w:r>
              <w:rPr>
                <w:b/>
                <w:bCs/>
              </w:rPr>
              <w:t>≤</w:t>
            </w:r>
            <w:r>
              <w:rPr>
                <w:rFonts w:hint="eastAsia"/>
                <w:b/>
                <w:bCs/>
                <w:lang w:val="en-US" w:eastAsia="zh-CN"/>
              </w:rPr>
              <w:t>11.0</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55DDFAD0">
            <w:pPr>
              <w:jc w:val="center"/>
              <w:rPr>
                <w:rFonts w:hint="default" w:eastAsia="宋体"/>
                <w:b/>
                <w:bCs/>
                <w:lang w:val="en-US" w:eastAsia="zh-CN"/>
              </w:rPr>
            </w:pPr>
            <w:r>
              <w:rPr>
                <w:rFonts w:hint="eastAsia"/>
                <w:b/>
                <w:bCs/>
                <w:lang w:val="en-US" w:eastAsia="zh-CN"/>
              </w:rPr>
              <w:t>14</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642BB81A">
            <w:pPr>
              <w:jc w:val="center"/>
              <w:rPr>
                <w:rFonts w:hint="default" w:eastAsia="宋体"/>
                <w:b/>
                <w:bCs/>
                <w:lang w:val="en-US" w:eastAsia="zh-CN"/>
              </w:rPr>
            </w:pPr>
            <w:r>
              <w:rPr>
                <w:rFonts w:hint="eastAsia"/>
                <w:b/>
                <w:bCs/>
                <w:lang w:val="en-US" w:eastAsia="zh-CN"/>
              </w:rPr>
              <w:t>77.78%</w:t>
            </w:r>
          </w:p>
        </w:tc>
      </w:tr>
      <w:tr w14:paraId="1CC58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noWrap w:val="0"/>
            <w:vAlign w:val="center"/>
          </w:tcPr>
          <w:p w14:paraId="629C1EEE">
            <w:pPr>
              <w:jc w:val="center"/>
              <w:rPr>
                <w:rFonts w:hint="default" w:eastAsia="宋体"/>
                <w:b/>
                <w:bCs/>
                <w:lang w:val="en-US" w:eastAsia="zh-CN"/>
              </w:rPr>
            </w:pPr>
            <w:r>
              <w:rPr>
                <w:rFonts w:hint="eastAsia"/>
                <w:b/>
                <w:bCs/>
                <w:lang w:val="en-US" w:eastAsia="zh-CN"/>
              </w:rPr>
              <w:t>11.0</w:t>
            </w:r>
            <w:r>
              <w:rPr>
                <w:rFonts w:hint="eastAsia"/>
                <w:b/>
                <w:bCs/>
              </w:rPr>
              <w:t>&lt;</w:t>
            </w:r>
            <w:r>
              <w:rPr>
                <w:rFonts w:hint="eastAsia" w:ascii="Times New Roman" w:hAnsi="Times New Roman" w:eastAsia="宋体" w:cs="Times New Roman"/>
                <w:b/>
                <w:bCs/>
                <w:lang w:val="en-US" w:eastAsia="zh-CN"/>
              </w:rPr>
              <w:t>Δθ</w:t>
            </w:r>
            <w:r>
              <w:rPr>
                <w:b/>
                <w:bCs/>
              </w:rPr>
              <w:t>≤</w:t>
            </w:r>
            <w:r>
              <w:rPr>
                <w:rFonts w:hint="eastAsia"/>
                <w:b/>
                <w:bCs/>
                <w:lang w:val="en-US" w:eastAsia="zh-CN"/>
              </w:rPr>
              <w:t>12.0</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4D1A47C3">
            <w:pPr>
              <w:jc w:val="center"/>
              <w:rPr>
                <w:rFonts w:hint="default" w:eastAsia="宋体"/>
                <w:b/>
                <w:bCs/>
                <w:lang w:val="en-US" w:eastAsia="zh-CN"/>
              </w:rPr>
            </w:pPr>
            <w:r>
              <w:rPr>
                <w:rFonts w:hint="eastAsia"/>
                <w:b/>
                <w:bCs/>
                <w:lang w:val="en-US" w:eastAsia="zh-CN"/>
              </w:rPr>
              <w:t>17</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7E7A4917">
            <w:pPr>
              <w:jc w:val="center"/>
              <w:rPr>
                <w:rFonts w:hint="default" w:eastAsia="宋体"/>
                <w:b/>
                <w:bCs/>
                <w:lang w:val="en-US" w:eastAsia="zh-CN"/>
              </w:rPr>
            </w:pPr>
            <w:r>
              <w:rPr>
                <w:rFonts w:hint="eastAsia"/>
                <w:b/>
                <w:bCs/>
                <w:lang w:val="en-US" w:eastAsia="zh-CN"/>
              </w:rPr>
              <w:t>94.44%</w:t>
            </w:r>
          </w:p>
        </w:tc>
      </w:tr>
      <w:tr w14:paraId="49C90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noWrap w:val="0"/>
            <w:vAlign w:val="center"/>
          </w:tcPr>
          <w:p w14:paraId="0A8A8BE2">
            <w:pPr>
              <w:jc w:val="center"/>
              <w:rPr>
                <w:rFonts w:hint="default" w:eastAsia="宋体"/>
                <w:b/>
                <w:bCs/>
                <w:lang w:val="en-US" w:eastAsia="zh-CN"/>
              </w:rPr>
            </w:pPr>
            <w:r>
              <w:rPr>
                <w:rFonts w:hint="eastAsia" w:ascii="Times New Roman" w:hAnsi="Times New Roman" w:eastAsia="宋体" w:cs="Times New Roman"/>
                <w:b/>
                <w:bCs/>
                <w:lang w:val="en-US" w:eastAsia="zh-CN"/>
              </w:rPr>
              <w:t>Δθ</w:t>
            </w:r>
            <w:r>
              <w:rPr>
                <w:b/>
                <w:bCs/>
              </w:rPr>
              <w:t>&gt;</w:t>
            </w:r>
            <w:r>
              <w:rPr>
                <w:rFonts w:hint="eastAsia"/>
                <w:b/>
                <w:bCs/>
                <w:lang w:val="en-US" w:eastAsia="zh-CN"/>
              </w:rPr>
              <w:t>12.0</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75A3E633">
            <w:pPr>
              <w:jc w:val="center"/>
              <w:rPr>
                <w:rFonts w:hint="default" w:eastAsia="宋体"/>
                <w:b/>
                <w:bCs/>
                <w:lang w:val="en-US" w:eastAsia="zh-CN"/>
              </w:rPr>
            </w:pPr>
            <w:r>
              <w:rPr>
                <w:rFonts w:hint="eastAsia"/>
                <w:b/>
                <w:bCs/>
                <w:lang w:val="en-US" w:eastAsia="zh-CN"/>
              </w:rPr>
              <w:t>18</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256EBE4C">
            <w:pPr>
              <w:jc w:val="center"/>
              <w:rPr>
                <w:rFonts w:hint="default" w:eastAsia="宋体"/>
                <w:b/>
                <w:bCs/>
                <w:lang w:val="en-US" w:eastAsia="zh-CN"/>
              </w:rPr>
            </w:pPr>
            <w:r>
              <w:rPr>
                <w:rFonts w:hint="eastAsia"/>
                <w:b/>
                <w:bCs/>
                <w:lang w:val="en-US" w:eastAsia="zh-CN"/>
              </w:rPr>
              <w:t>100%</w:t>
            </w:r>
          </w:p>
        </w:tc>
      </w:tr>
    </w:tbl>
    <w:p w14:paraId="7F55FF5D">
      <w:pPr>
        <w:tabs>
          <w:tab w:val="left" w:pos="817"/>
        </w:tabs>
        <w:autoSpaceDE w:val="0"/>
        <w:autoSpaceDN w:val="0"/>
        <w:adjustRightInd w:val="0"/>
        <w:spacing w:line="500" w:lineRule="exact"/>
        <w:jc w:val="center"/>
        <w:rPr>
          <w:rFonts w:hint="eastAsia" w:ascii="宋体" w:hAnsi="宋体"/>
          <w:sz w:val="24"/>
          <w:lang w:eastAsia="zh-CN"/>
        </w:rPr>
      </w:pPr>
      <w:r>
        <w:rPr>
          <w:rFonts w:hint="eastAsia" w:ascii="宋体" w:hAnsi="宋体"/>
          <w:sz w:val="24"/>
        </w:rPr>
        <w:t>表</w:t>
      </w:r>
      <w:r>
        <w:rPr>
          <w:rFonts w:hint="eastAsia" w:ascii="宋体" w:hAnsi="宋体"/>
          <w:sz w:val="24"/>
          <w:lang w:val="en-US" w:eastAsia="zh-CN"/>
        </w:rPr>
        <w:t xml:space="preserve">5 </w:t>
      </w:r>
      <w:r>
        <w:rPr>
          <w:rFonts w:hint="eastAsia" w:ascii="宋体" w:hAnsi="宋体"/>
          <w:sz w:val="24"/>
          <w:lang w:eastAsia="zh-CN"/>
        </w:rPr>
        <w:t>箱体温度稳定度统计结果</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4C8BF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noWrap w:val="0"/>
            <w:vAlign w:val="center"/>
          </w:tcPr>
          <w:p w14:paraId="3664CFF1">
            <w:pPr>
              <w:jc w:val="center"/>
              <w:rPr>
                <w:b/>
                <w:bCs/>
              </w:rPr>
            </w:pPr>
            <w:r>
              <w:rPr>
                <w:rFonts w:hint="eastAsia"/>
                <w:b/>
                <w:bCs/>
                <w:lang w:eastAsia="zh-CN"/>
              </w:rPr>
              <w:t>稳定度</w:t>
            </w:r>
            <w:r>
              <w:rPr>
                <w:rFonts w:hint="eastAsia" w:ascii="宋体" w:hAnsi="宋体"/>
                <w:sz w:val="24"/>
              </w:rPr>
              <w:t>δ</w:t>
            </w:r>
            <w:r>
              <w:rPr>
                <w:b/>
                <w:bCs/>
              </w:rPr>
              <w:t>/</w:t>
            </w:r>
            <w:r>
              <w:rPr>
                <w:rFonts w:hint="eastAsia" w:ascii="Times New Roman" w:hAnsi="Times New Roman" w:eastAsia="宋体" w:cs="Times New Roman"/>
                <w:b/>
                <w:bCs/>
                <w:lang w:val="en-US" w:eastAsia="zh-CN"/>
              </w:rPr>
              <w:t>℃</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0EA3BFBE">
            <w:pPr>
              <w:jc w:val="center"/>
              <w:rPr>
                <w:b/>
                <w:bCs/>
              </w:rPr>
            </w:pPr>
            <w:r>
              <w:rPr>
                <w:rFonts w:hint="eastAsia"/>
                <w:b/>
                <w:bCs/>
              </w:rPr>
              <w:t>出现次数</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308D055A">
            <w:pPr>
              <w:jc w:val="center"/>
              <w:rPr>
                <w:b/>
                <w:bCs/>
              </w:rPr>
            </w:pPr>
            <w:r>
              <w:rPr>
                <w:rFonts w:hint="eastAsia"/>
                <w:b/>
                <w:bCs/>
              </w:rPr>
              <w:t>出现概率</w:t>
            </w:r>
          </w:p>
        </w:tc>
      </w:tr>
      <w:tr w14:paraId="10492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noWrap w:val="0"/>
            <w:vAlign w:val="center"/>
          </w:tcPr>
          <w:p w14:paraId="7AEECE51">
            <w:pPr>
              <w:jc w:val="center"/>
              <w:rPr>
                <w:rFonts w:hint="default" w:eastAsia="宋体"/>
                <w:b/>
                <w:bCs/>
                <w:lang w:val="en-US" w:eastAsia="zh-CN"/>
              </w:rPr>
            </w:pPr>
            <w:r>
              <w:rPr>
                <w:rFonts w:hint="eastAsia" w:ascii="宋体" w:hAnsi="宋体"/>
                <w:sz w:val="24"/>
              </w:rPr>
              <w:t>δ</w:t>
            </w:r>
            <w:r>
              <w:rPr>
                <w:b/>
                <w:bCs/>
              </w:rPr>
              <w:t>≤</w:t>
            </w:r>
            <w:r>
              <w:rPr>
                <w:rFonts w:hint="eastAsia"/>
                <w:b/>
                <w:bCs/>
                <w:lang w:val="en-US" w:eastAsia="zh-CN"/>
              </w:rPr>
              <w:t>3.5</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57E4F9C2">
            <w:pPr>
              <w:jc w:val="center"/>
              <w:rPr>
                <w:rFonts w:hint="default" w:eastAsia="宋体"/>
                <w:b/>
                <w:bCs/>
                <w:lang w:val="en-US" w:eastAsia="zh-CN"/>
              </w:rPr>
            </w:pPr>
            <w:r>
              <w:rPr>
                <w:rFonts w:hint="eastAsia"/>
                <w:b/>
                <w:bCs/>
                <w:lang w:val="en-US" w:eastAsia="zh-CN"/>
              </w:rPr>
              <w:t>71</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05E54FFF">
            <w:pPr>
              <w:jc w:val="center"/>
              <w:rPr>
                <w:rFonts w:hint="default" w:eastAsia="宋体"/>
                <w:b/>
                <w:bCs/>
                <w:lang w:val="en-US" w:eastAsia="zh-CN"/>
              </w:rPr>
            </w:pPr>
            <w:r>
              <w:rPr>
                <w:rFonts w:hint="eastAsia"/>
                <w:b/>
                <w:bCs/>
                <w:lang w:val="en-US" w:eastAsia="zh-CN"/>
              </w:rPr>
              <w:t>91.03%</w:t>
            </w:r>
          </w:p>
        </w:tc>
      </w:tr>
      <w:tr w14:paraId="6A0A7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noWrap w:val="0"/>
            <w:vAlign w:val="center"/>
          </w:tcPr>
          <w:p w14:paraId="11047D8D">
            <w:pPr>
              <w:jc w:val="center"/>
              <w:rPr>
                <w:b/>
                <w:bCs/>
              </w:rPr>
            </w:pPr>
            <w:r>
              <w:rPr>
                <w:rFonts w:hint="eastAsia"/>
                <w:b/>
                <w:bCs/>
                <w:lang w:val="en-US" w:eastAsia="zh-CN"/>
              </w:rPr>
              <w:t>3.5</w:t>
            </w:r>
            <w:r>
              <w:rPr>
                <w:rFonts w:hint="eastAsia"/>
                <w:b/>
                <w:bCs/>
              </w:rPr>
              <w:t>&lt;</w:t>
            </w:r>
            <w:r>
              <w:rPr>
                <w:rFonts w:hint="eastAsia" w:ascii="宋体" w:hAnsi="宋体"/>
                <w:sz w:val="24"/>
              </w:rPr>
              <w:t>δ</w:t>
            </w:r>
            <w:r>
              <w:rPr>
                <w:b/>
                <w:bCs/>
              </w:rPr>
              <w:t>≤4.0</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5CE4B076">
            <w:pPr>
              <w:jc w:val="center"/>
              <w:rPr>
                <w:rFonts w:hint="default" w:eastAsia="宋体"/>
                <w:b/>
                <w:bCs/>
                <w:lang w:val="en-US" w:eastAsia="zh-CN"/>
              </w:rPr>
            </w:pPr>
            <w:r>
              <w:rPr>
                <w:rFonts w:hint="eastAsia"/>
                <w:b/>
                <w:bCs/>
                <w:lang w:val="en-US" w:eastAsia="zh-CN"/>
              </w:rPr>
              <w:t>72</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5D4EAF14">
            <w:pPr>
              <w:jc w:val="center"/>
              <w:rPr>
                <w:rFonts w:hint="default" w:eastAsia="宋体"/>
                <w:b/>
                <w:bCs/>
                <w:lang w:val="en-US" w:eastAsia="zh-CN"/>
              </w:rPr>
            </w:pPr>
            <w:r>
              <w:rPr>
                <w:rFonts w:hint="eastAsia"/>
                <w:b/>
                <w:bCs/>
                <w:lang w:val="en-US" w:eastAsia="zh-CN"/>
              </w:rPr>
              <w:t>92.31%</w:t>
            </w:r>
          </w:p>
        </w:tc>
      </w:tr>
      <w:tr w14:paraId="6D2F0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noWrap w:val="0"/>
            <w:vAlign w:val="center"/>
          </w:tcPr>
          <w:p w14:paraId="69820F2E">
            <w:pPr>
              <w:jc w:val="center"/>
              <w:rPr>
                <w:rFonts w:hint="default" w:eastAsia="宋体"/>
                <w:b/>
                <w:bCs/>
                <w:lang w:val="en-US" w:eastAsia="zh-CN"/>
              </w:rPr>
            </w:pPr>
            <w:r>
              <w:rPr>
                <w:b/>
                <w:bCs/>
              </w:rPr>
              <w:t>4.0</w:t>
            </w:r>
            <w:r>
              <w:rPr>
                <w:rFonts w:hint="eastAsia"/>
                <w:b/>
                <w:bCs/>
              </w:rPr>
              <w:t>&lt;</w:t>
            </w:r>
            <w:r>
              <w:rPr>
                <w:rFonts w:hint="eastAsia" w:ascii="宋体" w:hAnsi="宋体"/>
                <w:sz w:val="24"/>
              </w:rPr>
              <w:t>δ</w:t>
            </w:r>
            <w:r>
              <w:rPr>
                <w:b/>
                <w:bCs/>
              </w:rPr>
              <w:t>≤</w:t>
            </w:r>
            <w:r>
              <w:rPr>
                <w:rFonts w:hint="eastAsia"/>
                <w:b/>
                <w:bCs/>
                <w:lang w:val="en-US" w:eastAsia="zh-CN"/>
              </w:rPr>
              <w:t>4.5</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3345A9BD">
            <w:pPr>
              <w:jc w:val="center"/>
              <w:rPr>
                <w:rFonts w:hint="default" w:eastAsia="宋体"/>
                <w:b/>
                <w:bCs/>
                <w:lang w:val="en-US" w:eastAsia="zh-CN"/>
              </w:rPr>
            </w:pPr>
            <w:r>
              <w:rPr>
                <w:rFonts w:hint="eastAsia"/>
                <w:b/>
                <w:bCs/>
                <w:lang w:val="en-US" w:eastAsia="zh-CN"/>
              </w:rPr>
              <w:t>75</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54876CFB">
            <w:pPr>
              <w:jc w:val="center"/>
              <w:rPr>
                <w:rFonts w:hint="default" w:eastAsia="宋体"/>
                <w:b/>
                <w:bCs/>
                <w:lang w:val="en-US" w:eastAsia="zh-CN"/>
              </w:rPr>
            </w:pPr>
            <w:r>
              <w:rPr>
                <w:rFonts w:hint="eastAsia"/>
                <w:b/>
                <w:bCs/>
                <w:lang w:val="en-US" w:eastAsia="zh-CN"/>
              </w:rPr>
              <w:t>96.15%</w:t>
            </w:r>
          </w:p>
        </w:tc>
      </w:tr>
      <w:tr w14:paraId="1943E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noWrap w:val="0"/>
            <w:vAlign w:val="center"/>
          </w:tcPr>
          <w:p w14:paraId="52492914">
            <w:pPr>
              <w:jc w:val="center"/>
              <w:rPr>
                <w:rFonts w:hint="default" w:eastAsia="宋体"/>
                <w:b/>
                <w:bCs/>
                <w:lang w:val="en-US" w:eastAsia="zh-CN"/>
              </w:rPr>
            </w:pPr>
            <w:r>
              <w:rPr>
                <w:rFonts w:hint="eastAsia" w:ascii="宋体" w:hAnsi="宋体"/>
                <w:sz w:val="24"/>
              </w:rPr>
              <w:t>δ</w:t>
            </w:r>
            <w:r>
              <w:rPr>
                <w:b/>
                <w:bCs/>
              </w:rPr>
              <w:t xml:space="preserve"> &gt;</w:t>
            </w:r>
            <w:r>
              <w:rPr>
                <w:rFonts w:hint="eastAsia"/>
                <w:b/>
                <w:bCs/>
                <w:lang w:val="en-US" w:eastAsia="zh-CN"/>
              </w:rPr>
              <w:t>4.5</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2AE956AF">
            <w:pPr>
              <w:jc w:val="center"/>
              <w:rPr>
                <w:rFonts w:hint="default" w:eastAsia="宋体"/>
                <w:b/>
                <w:bCs/>
                <w:lang w:val="en-US" w:eastAsia="zh-CN"/>
              </w:rPr>
            </w:pPr>
            <w:r>
              <w:rPr>
                <w:rFonts w:hint="eastAsia"/>
                <w:b/>
                <w:bCs/>
                <w:lang w:val="en-US" w:eastAsia="zh-CN"/>
              </w:rPr>
              <w:t>78</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2AA5D639">
            <w:pPr>
              <w:jc w:val="center"/>
              <w:rPr>
                <w:rFonts w:hint="default" w:eastAsia="宋体"/>
                <w:b/>
                <w:bCs/>
                <w:lang w:val="en-US" w:eastAsia="zh-CN"/>
              </w:rPr>
            </w:pPr>
            <w:r>
              <w:rPr>
                <w:rFonts w:hint="eastAsia"/>
                <w:b/>
                <w:bCs/>
                <w:lang w:val="en-US" w:eastAsia="zh-CN"/>
              </w:rPr>
              <w:t>100%</w:t>
            </w:r>
          </w:p>
        </w:tc>
      </w:tr>
    </w:tbl>
    <w:p w14:paraId="77341226">
      <w:pPr>
        <w:tabs>
          <w:tab w:val="left" w:pos="817"/>
        </w:tabs>
        <w:autoSpaceDE w:val="0"/>
        <w:autoSpaceDN w:val="0"/>
        <w:adjustRightInd w:val="0"/>
        <w:spacing w:line="500" w:lineRule="exact"/>
        <w:jc w:val="center"/>
        <w:rPr>
          <w:rFonts w:hint="eastAsia" w:ascii="宋体" w:hAnsi="宋体"/>
          <w:sz w:val="24"/>
        </w:rPr>
      </w:pPr>
      <w:r>
        <w:rPr>
          <w:rFonts w:hint="eastAsia" w:ascii="宋体" w:hAnsi="宋体"/>
          <w:sz w:val="24"/>
        </w:rPr>
        <w:t>表</w:t>
      </w:r>
      <w:r>
        <w:rPr>
          <w:rFonts w:hint="eastAsia" w:ascii="宋体" w:hAnsi="宋体"/>
          <w:sz w:val="24"/>
          <w:lang w:val="en-US" w:eastAsia="zh-CN"/>
        </w:rPr>
        <w:t xml:space="preserve">6 </w:t>
      </w:r>
      <w:r>
        <w:rPr>
          <w:rFonts w:hint="eastAsia" w:ascii="宋体" w:hAnsi="宋体"/>
          <w:sz w:val="24"/>
          <w:lang w:eastAsia="zh-CN"/>
        </w:rPr>
        <w:t>箱体温度示值误差统计结果</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66199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noWrap w:val="0"/>
            <w:vAlign w:val="center"/>
          </w:tcPr>
          <w:p w14:paraId="3A5CBB35">
            <w:pPr>
              <w:jc w:val="center"/>
              <w:rPr>
                <w:b/>
                <w:bCs/>
              </w:rPr>
            </w:pPr>
            <w:r>
              <w:rPr>
                <w:rFonts w:hint="eastAsia"/>
                <w:b/>
                <w:bCs/>
                <w:lang w:eastAsia="zh-CN"/>
              </w:rPr>
              <w:t>示值误差</w:t>
            </w:r>
            <w:r>
              <w:rPr>
                <w:b/>
                <w:bCs/>
              </w:rPr>
              <w:t>δerr/</w:t>
            </w:r>
            <w:r>
              <w:rPr>
                <w:rFonts w:hint="eastAsia" w:ascii="Times New Roman" w:hAnsi="Times New Roman" w:eastAsia="宋体" w:cs="Times New Roman"/>
                <w:b/>
                <w:bCs/>
                <w:lang w:val="en-US" w:eastAsia="zh-CN"/>
              </w:rPr>
              <w:t>℃</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08DBDB51">
            <w:pPr>
              <w:jc w:val="center"/>
              <w:rPr>
                <w:b/>
                <w:bCs/>
              </w:rPr>
            </w:pPr>
            <w:r>
              <w:rPr>
                <w:rFonts w:hint="eastAsia"/>
                <w:b/>
                <w:bCs/>
              </w:rPr>
              <w:t>出现次数</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2D4ABC56">
            <w:pPr>
              <w:jc w:val="center"/>
              <w:rPr>
                <w:b/>
                <w:bCs/>
              </w:rPr>
            </w:pPr>
            <w:r>
              <w:rPr>
                <w:rFonts w:hint="eastAsia"/>
                <w:b/>
                <w:bCs/>
              </w:rPr>
              <w:t>出现概率</w:t>
            </w:r>
          </w:p>
        </w:tc>
      </w:tr>
      <w:tr w14:paraId="76AF5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noWrap w:val="0"/>
            <w:vAlign w:val="center"/>
          </w:tcPr>
          <w:p w14:paraId="704C1CF9">
            <w:pPr>
              <w:jc w:val="center"/>
              <w:rPr>
                <w:rFonts w:hint="default" w:eastAsia="宋体"/>
                <w:b/>
                <w:bCs/>
                <w:lang w:val="en-US" w:eastAsia="zh-CN"/>
              </w:rPr>
            </w:pPr>
            <w:r>
              <w:rPr>
                <w:b/>
                <w:bCs/>
              </w:rPr>
              <w:t>δerr≤</w:t>
            </w:r>
            <w:r>
              <w:rPr>
                <w:rFonts w:hint="eastAsia"/>
                <w:b/>
                <w:bCs/>
                <w:lang w:val="en-US" w:eastAsia="zh-CN"/>
              </w:rPr>
              <w:t>5.0</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513808CF">
            <w:pPr>
              <w:jc w:val="center"/>
              <w:rPr>
                <w:rFonts w:hint="eastAsia" w:eastAsia="宋体"/>
                <w:b/>
                <w:bCs/>
                <w:lang w:val="en-US" w:eastAsia="zh-CN"/>
              </w:rPr>
            </w:pPr>
            <w:r>
              <w:rPr>
                <w:rFonts w:hint="eastAsia"/>
                <w:b/>
                <w:bCs/>
                <w:lang w:val="en-US" w:eastAsia="zh-CN"/>
              </w:rPr>
              <w:t>6</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11849EE5">
            <w:pPr>
              <w:jc w:val="center"/>
              <w:rPr>
                <w:rFonts w:hint="default" w:eastAsia="宋体"/>
                <w:b/>
                <w:bCs/>
                <w:lang w:val="en-US" w:eastAsia="zh-CN"/>
              </w:rPr>
            </w:pPr>
            <w:r>
              <w:rPr>
                <w:rFonts w:hint="eastAsia"/>
                <w:b/>
                <w:bCs/>
                <w:lang w:val="en-US" w:eastAsia="zh-CN"/>
              </w:rPr>
              <w:t>50%</w:t>
            </w:r>
          </w:p>
        </w:tc>
      </w:tr>
      <w:tr w14:paraId="46F8F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noWrap w:val="0"/>
            <w:vAlign w:val="center"/>
          </w:tcPr>
          <w:p w14:paraId="443DA482">
            <w:pPr>
              <w:jc w:val="center"/>
              <w:rPr>
                <w:rFonts w:hint="default" w:eastAsia="宋体"/>
                <w:b/>
                <w:bCs/>
                <w:lang w:val="en-US" w:eastAsia="zh-CN"/>
              </w:rPr>
            </w:pPr>
            <w:r>
              <w:rPr>
                <w:rFonts w:hint="eastAsia"/>
                <w:b/>
                <w:bCs/>
                <w:lang w:val="en-US" w:eastAsia="zh-CN"/>
              </w:rPr>
              <w:t>5.0</w:t>
            </w:r>
            <w:r>
              <w:rPr>
                <w:rFonts w:hint="eastAsia"/>
                <w:b/>
                <w:bCs/>
              </w:rPr>
              <w:t>&lt;</w:t>
            </w:r>
            <w:r>
              <w:rPr>
                <w:b/>
                <w:bCs/>
              </w:rPr>
              <w:t>δerr≤</w:t>
            </w:r>
            <w:r>
              <w:rPr>
                <w:rFonts w:hint="eastAsia"/>
                <w:b/>
                <w:bCs/>
                <w:lang w:val="en-US" w:eastAsia="zh-CN"/>
              </w:rPr>
              <w:t>10.0</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4B2E6E1B">
            <w:pPr>
              <w:jc w:val="center"/>
              <w:rPr>
                <w:rFonts w:hint="eastAsia" w:eastAsia="宋体"/>
                <w:b/>
                <w:bCs/>
                <w:lang w:val="en-US" w:eastAsia="zh-CN"/>
              </w:rPr>
            </w:pPr>
            <w:r>
              <w:rPr>
                <w:rFonts w:hint="eastAsia"/>
                <w:b/>
                <w:bCs/>
                <w:lang w:val="en-US" w:eastAsia="zh-CN"/>
              </w:rPr>
              <w:t>8</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03AFA0D4">
            <w:pPr>
              <w:jc w:val="center"/>
              <w:rPr>
                <w:rFonts w:hint="default" w:eastAsia="宋体"/>
                <w:b/>
                <w:bCs/>
                <w:lang w:val="en-US" w:eastAsia="zh-CN"/>
              </w:rPr>
            </w:pPr>
            <w:r>
              <w:rPr>
                <w:rFonts w:hint="eastAsia"/>
                <w:b/>
                <w:bCs/>
                <w:lang w:val="en-US" w:eastAsia="zh-CN"/>
              </w:rPr>
              <w:t>66.67%</w:t>
            </w:r>
          </w:p>
        </w:tc>
      </w:tr>
      <w:tr w14:paraId="1D78F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noWrap w:val="0"/>
            <w:vAlign w:val="center"/>
          </w:tcPr>
          <w:p w14:paraId="2EEE6EFA">
            <w:pPr>
              <w:jc w:val="center"/>
              <w:rPr>
                <w:rFonts w:hint="default" w:eastAsia="宋体"/>
                <w:b/>
                <w:bCs/>
                <w:lang w:val="en-US" w:eastAsia="zh-CN"/>
              </w:rPr>
            </w:pPr>
            <w:r>
              <w:rPr>
                <w:rFonts w:hint="eastAsia"/>
                <w:b/>
                <w:bCs/>
                <w:lang w:val="en-US" w:eastAsia="zh-CN"/>
              </w:rPr>
              <w:t>10.0</w:t>
            </w:r>
            <w:r>
              <w:rPr>
                <w:rFonts w:hint="eastAsia"/>
                <w:b/>
                <w:bCs/>
              </w:rPr>
              <w:t>&lt;</w:t>
            </w:r>
            <w:r>
              <w:rPr>
                <w:b/>
                <w:bCs/>
              </w:rPr>
              <w:t>δerr≤</w:t>
            </w:r>
            <w:r>
              <w:rPr>
                <w:rFonts w:hint="eastAsia"/>
                <w:b/>
                <w:bCs/>
                <w:lang w:val="en-US" w:eastAsia="zh-CN"/>
              </w:rPr>
              <w:t>20.0</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18C1E5A9">
            <w:pPr>
              <w:jc w:val="center"/>
              <w:rPr>
                <w:rFonts w:hint="default" w:eastAsia="宋体"/>
                <w:b/>
                <w:bCs/>
                <w:lang w:val="en-US" w:eastAsia="zh-CN"/>
              </w:rPr>
            </w:pPr>
            <w:r>
              <w:rPr>
                <w:rFonts w:hint="eastAsia"/>
                <w:b/>
                <w:bCs/>
                <w:lang w:val="en-US" w:eastAsia="zh-CN"/>
              </w:rPr>
              <w:t>11</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0B6A3BCE">
            <w:pPr>
              <w:jc w:val="center"/>
              <w:rPr>
                <w:rFonts w:hint="default" w:eastAsia="宋体"/>
                <w:b/>
                <w:bCs/>
                <w:lang w:val="en-US" w:eastAsia="zh-CN"/>
              </w:rPr>
            </w:pPr>
            <w:r>
              <w:rPr>
                <w:rFonts w:hint="eastAsia"/>
                <w:b/>
                <w:bCs/>
                <w:lang w:val="en-US" w:eastAsia="zh-CN"/>
              </w:rPr>
              <w:t>91.67%</w:t>
            </w:r>
          </w:p>
        </w:tc>
      </w:tr>
      <w:tr w14:paraId="30A0E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noWrap w:val="0"/>
            <w:vAlign w:val="center"/>
          </w:tcPr>
          <w:p w14:paraId="315910D4">
            <w:pPr>
              <w:jc w:val="center"/>
              <w:rPr>
                <w:rFonts w:hint="default" w:eastAsia="宋体"/>
                <w:b/>
                <w:bCs/>
                <w:lang w:val="en-US" w:eastAsia="zh-CN"/>
              </w:rPr>
            </w:pPr>
            <w:r>
              <w:rPr>
                <w:b/>
                <w:bCs/>
              </w:rPr>
              <w:t>δerr &gt;</w:t>
            </w:r>
            <w:r>
              <w:rPr>
                <w:rFonts w:hint="eastAsia"/>
                <w:b/>
                <w:bCs/>
                <w:lang w:val="en-US" w:eastAsia="zh-CN"/>
              </w:rPr>
              <w:t>20.0</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0073F8A4">
            <w:pPr>
              <w:jc w:val="center"/>
              <w:rPr>
                <w:rFonts w:hint="default" w:eastAsia="宋体"/>
                <w:b/>
                <w:bCs/>
                <w:lang w:val="en-US" w:eastAsia="zh-CN"/>
              </w:rPr>
            </w:pPr>
            <w:r>
              <w:rPr>
                <w:rFonts w:hint="eastAsia"/>
                <w:b/>
                <w:bCs/>
                <w:lang w:val="en-US" w:eastAsia="zh-CN"/>
              </w:rPr>
              <w:t>12</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5946B4F9">
            <w:pPr>
              <w:jc w:val="center"/>
              <w:rPr>
                <w:b/>
                <w:bCs/>
              </w:rPr>
            </w:pPr>
            <w:r>
              <w:rPr>
                <w:rFonts w:hint="eastAsia"/>
                <w:b/>
                <w:bCs/>
              </w:rPr>
              <w:t>100%</w:t>
            </w:r>
          </w:p>
        </w:tc>
      </w:tr>
    </w:tbl>
    <w:p w14:paraId="65A163A5">
      <w:pPr>
        <w:tabs>
          <w:tab w:val="left" w:pos="817"/>
        </w:tabs>
        <w:autoSpaceDE w:val="0"/>
        <w:autoSpaceDN w:val="0"/>
        <w:adjustRightInd w:val="0"/>
        <w:spacing w:line="500" w:lineRule="exact"/>
        <w:jc w:val="center"/>
        <w:rPr>
          <w:rFonts w:hint="eastAsia" w:ascii="宋体" w:hAnsi="宋体"/>
          <w:sz w:val="24"/>
          <w:lang w:eastAsia="zh-CN"/>
        </w:rPr>
      </w:pPr>
      <w:r>
        <w:rPr>
          <w:rFonts w:hint="eastAsia" w:ascii="宋体" w:hAnsi="宋体"/>
          <w:sz w:val="24"/>
        </w:rPr>
        <w:t>表</w:t>
      </w:r>
      <w:r>
        <w:rPr>
          <w:rFonts w:hint="eastAsia" w:ascii="宋体" w:hAnsi="宋体"/>
          <w:sz w:val="24"/>
          <w:lang w:val="en-US" w:eastAsia="zh-CN"/>
        </w:rPr>
        <w:t xml:space="preserve">7 </w:t>
      </w:r>
      <w:r>
        <w:rPr>
          <w:rFonts w:hint="eastAsia" w:ascii="宋体" w:hAnsi="宋体"/>
          <w:sz w:val="24"/>
          <w:lang w:eastAsia="zh-CN"/>
        </w:rPr>
        <w:t>箱体温度计量特性统计结果</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6"/>
        <w:gridCol w:w="2216"/>
        <w:gridCol w:w="2216"/>
        <w:gridCol w:w="2216"/>
      </w:tblGrid>
      <w:tr w14:paraId="24B81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6" w:type="dxa"/>
            <w:noWrap w:val="0"/>
            <w:vAlign w:val="top"/>
          </w:tcPr>
          <w:p w14:paraId="76783358">
            <w:pPr>
              <w:spacing w:before="156" w:beforeLines="50" w:line="240" w:lineRule="atLeast"/>
              <w:jc w:val="center"/>
              <w:rPr>
                <w:sz w:val="24"/>
              </w:rPr>
            </w:pPr>
            <w:r>
              <w:rPr>
                <w:rFonts w:hint="eastAsia"/>
                <w:sz w:val="24"/>
              </w:rPr>
              <w:t>序号</w:t>
            </w:r>
          </w:p>
        </w:tc>
        <w:tc>
          <w:tcPr>
            <w:tcW w:w="4432" w:type="dxa"/>
            <w:gridSpan w:val="2"/>
            <w:noWrap w:val="0"/>
            <w:vAlign w:val="top"/>
          </w:tcPr>
          <w:p w14:paraId="4099AE63">
            <w:pPr>
              <w:spacing w:before="156" w:beforeLines="50" w:line="240" w:lineRule="atLeast"/>
              <w:jc w:val="center"/>
              <w:rPr>
                <w:sz w:val="24"/>
              </w:rPr>
            </w:pPr>
            <w:r>
              <w:rPr>
                <w:rFonts w:hint="eastAsia"/>
                <w:sz w:val="24"/>
              </w:rPr>
              <w:t>计量性能</w:t>
            </w:r>
          </w:p>
        </w:tc>
        <w:tc>
          <w:tcPr>
            <w:tcW w:w="2216" w:type="dxa"/>
            <w:noWrap w:val="0"/>
            <w:vAlign w:val="top"/>
          </w:tcPr>
          <w:p w14:paraId="21368562">
            <w:pPr>
              <w:spacing w:before="156" w:beforeLines="50" w:line="240" w:lineRule="atLeast"/>
              <w:jc w:val="center"/>
              <w:rPr>
                <w:sz w:val="24"/>
              </w:rPr>
            </w:pPr>
            <w:r>
              <w:rPr>
                <w:rFonts w:hint="eastAsia"/>
                <w:sz w:val="24"/>
              </w:rPr>
              <w:t>技术指标</w:t>
            </w:r>
          </w:p>
        </w:tc>
      </w:tr>
      <w:tr w14:paraId="46723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6" w:type="dxa"/>
            <w:vMerge w:val="restart"/>
            <w:noWrap w:val="0"/>
            <w:vAlign w:val="center"/>
          </w:tcPr>
          <w:p w14:paraId="17808DAD">
            <w:pPr>
              <w:spacing w:before="156" w:beforeLines="50" w:line="240" w:lineRule="atLeast"/>
              <w:jc w:val="center"/>
              <w:rPr>
                <w:rFonts w:ascii="仿宋_GB2312"/>
                <w:sz w:val="24"/>
              </w:rPr>
            </w:pPr>
            <w:r>
              <w:rPr>
                <w:rFonts w:hint="eastAsia" w:ascii="仿宋_GB2312"/>
                <w:sz w:val="24"/>
              </w:rPr>
              <w:t>1</w:t>
            </w:r>
          </w:p>
        </w:tc>
        <w:tc>
          <w:tcPr>
            <w:tcW w:w="2216" w:type="dxa"/>
            <w:vMerge w:val="restart"/>
            <w:noWrap w:val="0"/>
            <w:vAlign w:val="center"/>
          </w:tcPr>
          <w:p w14:paraId="1EDFC0C3">
            <w:pPr>
              <w:spacing w:before="156" w:beforeLines="50" w:line="240" w:lineRule="atLeast"/>
              <w:jc w:val="center"/>
              <w:rPr>
                <w:rFonts w:ascii="仿宋_GB2312"/>
                <w:sz w:val="24"/>
              </w:rPr>
            </w:pPr>
            <w:r>
              <w:rPr>
                <w:rFonts w:hint="eastAsia" w:ascii="仿宋_GB2312"/>
                <w:sz w:val="24"/>
              </w:rPr>
              <w:t>箱体</w:t>
            </w:r>
          </w:p>
        </w:tc>
        <w:tc>
          <w:tcPr>
            <w:tcW w:w="2216" w:type="dxa"/>
            <w:noWrap w:val="0"/>
            <w:vAlign w:val="top"/>
          </w:tcPr>
          <w:p w14:paraId="14CCE238">
            <w:pPr>
              <w:spacing w:before="156" w:beforeLines="50" w:line="240" w:lineRule="atLeast"/>
              <w:jc w:val="center"/>
              <w:rPr>
                <w:rFonts w:eastAsia="黑体"/>
                <w:sz w:val="24"/>
              </w:rPr>
            </w:pPr>
            <w:r>
              <w:rPr>
                <w:rFonts w:hint="eastAsia" w:ascii="仿宋_GB2312"/>
                <w:sz w:val="24"/>
              </w:rPr>
              <w:t>温度均匀度（℃）</w:t>
            </w:r>
          </w:p>
        </w:tc>
        <w:tc>
          <w:tcPr>
            <w:tcW w:w="2216" w:type="dxa"/>
            <w:noWrap w:val="0"/>
            <w:vAlign w:val="top"/>
          </w:tcPr>
          <w:p w14:paraId="0B5C8E4E">
            <w:pPr>
              <w:spacing w:before="156" w:beforeLines="50" w:line="240" w:lineRule="atLeast"/>
              <w:jc w:val="center"/>
              <w:rPr>
                <w:rFonts w:hint="default" w:eastAsia="宋体"/>
                <w:sz w:val="24"/>
                <w:lang w:val="en-US" w:eastAsia="zh-CN"/>
              </w:rPr>
            </w:pPr>
            <w:r>
              <w:rPr>
                <w:rFonts w:hint="eastAsia"/>
                <w:sz w:val="24"/>
                <w:lang w:val="en-US" w:eastAsia="zh-CN"/>
              </w:rPr>
              <w:t>12.0</w:t>
            </w:r>
          </w:p>
        </w:tc>
      </w:tr>
      <w:tr w14:paraId="3E347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6" w:type="dxa"/>
            <w:vMerge w:val="continue"/>
            <w:noWrap w:val="0"/>
            <w:vAlign w:val="center"/>
          </w:tcPr>
          <w:p w14:paraId="69EE25A4">
            <w:pPr>
              <w:spacing w:before="156" w:beforeLines="50" w:line="240" w:lineRule="atLeast"/>
              <w:jc w:val="center"/>
              <w:rPr>
                <w:rFonts w:ascii="仿宋_GB2312"/>
                <w:sz w:val="24"/>
              </w:rPr>
            </w:pPr>
          </w:p>
        </w:tc>
        <w:tc>
          <w:tcPr>
            <w:tcW w:w="2216" w:type="dxa"/>
            <w:vMerge w:val="continue"/>
            <w:noWrap w:val="0"/>
            <w:vAlign w:val="center"/>
          </w:tcPr>
          <w:p w14:paraId="2C372D7D">
            <w:pPr>
              <w:spacing w:before="156" w:beforeLines="50" w:line="240" w:lineRule="atLeast"/>
              <w:jc w:val="center"/>
              <w:rPr>
                <w:rFonts w:ascii="仿宋_GB2312"/>
                <w:sz w:val="24"/>
              </w:rPr>
            </w:pPr>
          </w:p>
        </w:tc>
        <w:tc>
          <w:tcPr>
            <w:tcW w:w="2216" w:type="dxa"/>
            <w:noWrap w:val="0"/>
            <w:vAlign w:val="top"/>
          </w:tcPr>
          <w:p w14:paraId="42E496F1">
            <w:pPr>
              <w:spacing w:before="156" w:beforeLines="50" w:line="240" w:lineRule="atLeast"/>
              <w:jc w:val="center"/>
              <w:rPr>
                <w:rFonts w:eastAsia="黑体"/>
                <w:sz w:val="24"/>
              </w:rPr>
            </w:pPr>
            <w:r>
              <w:rPr>
                <w:rFonts w:hint="eastAsia" w:ascii="仿宋_GB2312"/>
                <w:sz w:val="24"/>
              </w:rPr>
              <w:t>温度稳定度（℃）</w:t>
            </w:r>
          </w:p>
        </w:tc>
        <w:tc>
          <w:tcPr>
            <w:tcW w:w="2216" w:type="dxa"/>
            <w:noWrap w:val="0"/>
            <w:vAlign w:val="top"/>
          </w:tcPr>
          <w:p w14:paraId="0071C5FE">
            <w:pPr>
              <w:spacing w:before="156" w:beforeLines="50" w:line="240" w:lineRule="atLeast"/>
              <w:jc w:val="center"/>
              <w:rPr>
                <w:rFonts w:hint="default" w:eastAsia="宋体"/>
                <w:sz w:val="24"/>
                <w:lang w:val="en-US" w:eastAsia="zh-CN"/>
              </w:rPr>
            </w:pPr>
            <w:r>
              <w:rPr>
                <w:rFonts w:hint="eastAsia"/>
                <w:sz w:val="24"/>
                <w:lang w:val="en-US" w:eastAsia="zh-CN"/>
              </w:rPr>
              <w:t>4.5</w:t>
            </w:r>
          </w:p>
        </w:tc>
      </w:tr>
      <w:tr w14:paraId="7B162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6" w:type="dxa"/>
            <w:vMerge w:val="continue"/>
            <w:noWrap w:val="0"/>
            <w:vAlign w:val="center"/>
          </w:tcPr>
          <w:p w14:paraId="2D933F9E">
            <w:pPr>
              <w:spacing w:before="156" w:beforeLines="50" w:line="240" w:lineRule="atLeast"/>
              <w:jc w:val="center"/>
              <w:rPr>
                <w:rFonts w:ascii="仿宋_GB2312"/>
                <w:sz w:val="24"/>
              </w:rPr>
            </w:pPr>
          </w:p>
        </w:tc>
        <w:tc>
          <w:tcPr>
            <w:tcW w:w="2216" w:type="dxa"/>
            <w:vMerge w:val="continue"/>
            <w:noWrap w:val="0"/>
            <w:vAlign w:val="center"/>
          </w:tcPr>
          <w:p w14:paraId="4BB354F3">
            <w:pPr>
              <w:spacing w:before="156" w:beforeLines="50" w:line="240" w:lineRule="atLeast"/>
              <w:jc w:val="center"/>
              <w:rPr>
                <w:rFonts w:ascii="仿宋_GB2312"/>
                <w:sz w:val="24"/>
              </w:rPr>
            </w:pPr>
          </w:p>
        </w:tc>
        <w:tc>
          <w:tcPr>
            <w:tcW w:w="2216" w:type="dxa"/>
            <w:noWrap w:val="0"/>
            <w:vAlign w:val="top"/>
          </w:tcPr>
          <w:p w14:paraId="662CFF48">
            <w:pPr>
              <w:spacing w:before="156" w:beforeLines="50" w:line="240" w:lineRule="atLeast"/>
              <w:jc w:val="center"/>
              <w:rPr>
                <w:rFonts w:eastAsia="黑体"/>
                <w:sz w:val="24"/>
              </w:rPr>
            </w:pPr>
            <w:r>
              <w:rPr>
                <w:rFonts w:hint="eastAsia" w:ascii="仿宋_GB2312"/>
                <w:sz w:val="24"/>
              </w:rPr>
              <w:t>温度示值</w:t>
            </w:r>
            <w:r>
              <w:rPr>
                <w:rFonts w:ascii="仿宋_GB2312"/>
                <w:sz w:val="24"/>
              </w:rPr>
              <w:t>误差</w:t>
            </w:r>
            <w:r>
              <w:rPr>
                <w:rFonts w:hint="eastAsia" w:ascii="仿宋_GB2312"/>
                <w:sz w:val="24"/>
              </w:rPr>
              <w:t>（℃）</w:t>
            </w:r>
          </w:p>
        </w:tc>
        <w:tc>
          <w:tcPr>
            <w:tcW w:w="2216" w:type="dxa"/>
            <w:noWrap w:val="0"/>
            <w:vAlign w:val="top"/>
          </w:tcPr>
          <w:p w14:paraId="208A4422">
            <w:pPr>
              <w:spacing w:before="156" w:beforeLines="50" w:line="240" w:lineRule="atLeast"/>
              <w:jc w:val="center"/>
              <w:rPr>
                <w:rFonts w:hint="default" w:eastAsia="宋体"/>
                <w:sz w:val="24"/>
                <w:lang w:val="en-US" w:eastAsia="zh-CN"/>
              </w:rPr>
            </w:pPr>
            <w:r>
              <w:rPr>
                <w:rFonts w:hint="eastAsia"/>
                <w:sz w:val="24"/>
                <w:lang w:val="en-US" w:eastAsia="zh-CN"/>
              </w:rPr>
              <w:t>20.0</w:t>
            </w:r>
          </w:p>
        </w:tc>
      </w:tr>
    </w:tbl>
    <w:p w14:paraId="2CDF7F04">
      <w:pPr>
        <w:numPr>
          <w:ilvl w:val="0"/>
          <w:numId w:val="0"/>
        </w:numPr>
        <w:spacing w:line="440" w:lineRule="exact"/>
        <w:ind w:leftChars="0"/>
        <w:rPr>
          <w:rFonts w:hint="eastAsia" w:eastAsia="黑体"/>
          <w:sz w:val="28"/>
          <w:szCs w:val="28"/>
          <w:lang w:val="en-US" w:eastAsia="zh-CN"/>
        </w:rPr>
      </w:pPr>
      <w:r>
        <w:rPr>
          <w:rFonts w:hint="eastAsia" w:eastAsia="黑体"/>
          <w:sz w:val="28"/>
          <w:szCs w:val="28"/>
          <w:lang w:val="en-US" w:eastAsia="zh-CN"/>
        </w:rPr>
        <w:t xml:space="preserve">4  规范中重要条款的解释  </w:t>
      </w:r>
    </w:p>
    <w:p w14:paraId="17717CD2">
      <w:pPr>
        <w:pStyle w:val="16"/>
        <w:tabs>
          <w:tab w:val="left" w:pos="0"/>
        </w:tabs>
        <w:spacing w:line="360" w:lineRule="auto"/>
        <w:ind w:firstLine="480"/>
        <w:jc w:val="left"/>
        <w:rPr>
          <w:rFonts w:ascii="宋体" w:hAnsi="Times New Roman" w:cs="宋体"/>
          <w:color w:val="000000"/>
          <w:kern w:val="0"/>
          <w:sz w:val="24"/>
          <w:szCs w:val="24"/>
        </w:rPr>
      </w:pPr>
      <w:r>
        <w:rPr>
          <w:rFonts w:hint="eastAsia" w:ascii="宋体" w:hAnsi="Times New Roman" w:cs="宋体"/>
          <w:color w:val="000000"/>
          <w:kern w:val="0"/>
          <w:sz w:val="24"/>
          <w:szCs w:val="24"/>
        </w:rPr>
        <w:t>计量</w:t>
      </w:r>
      <w:r>
        <w:rPr>
          <w:rFonts w:ascii="宋体" w:hAnsi="Times New Roman" w:cs="宋体"/>
          <w:color w:val="000000"/>
          <w:kern w:val="0"/>
          <w:sz w:val="24"/>
          <w:szCs w:val="24"/>
        </w:rPr>
        <w:t>特性</w:t>
      </w:r>
      <w:r>
        <w:rPr>
          <w:rFonts w:hint="eastAsia" w:ascii="宋体" w:hAnsi="Times New Roman" w:cs="宋体"/>
          <w:color w:val="000000"/>
          <w:kern w:val="0"/>
          <w:sz w:val="24"/>
          <w:szCs w:val="24"/>
        </w:rPr>
        <w:t>的选择</w:t>
      </w:r>
      <w:r>
        <w:rPr>
          <w:rFonts w:ascii="宋体" w:hAnsi="Times New Roman" w:cs="宋体"/>
          <w:color w:val="000000"/>
          <w:kern w:val="0"/>
          <w:sz w:val="24"/>
          <w:szCs w:val="24"/>
        </w:rPr>
        <w:t>：</w:t>
      </w:r>
    </w:p>
    <w:p w14:paraId="164ECE70">
      <w:pPr>
        <w:pStyle w:val="16"/>
        <w:tabs>
          <w:tab w:val="left" w:pos="0"/>
        </w:tabs>
        <w:spacing w:line="360" w:lineRule="auto"/>
        <w:ind w:firstLine="480"/>
        <w:jc w:val="left"/>
        <w:rPr>
          <w:sz w:val="24"/>
        </w:rPr>
      </w:pPr>
      <w:r>
        <w:rPr>
          <w:rFonts w:hint="eastAsia" w:ascii="宋体" w:hAnsi="Times New Roman" w:cs="宋体"/>
          <w:color w:val="000000"/>
          <w:kern w:val="0"/>
          <w:sz w:val="24"/>
          <w:szCs w:val="24"/>
        </w:rPr>
        <w:t>微量法残炭</w:t>
      </w:r>
      <w:r>
        <w:rPr>
          <w:rFonts w:ascii="宋体" w:hAnsi="Times New Roman" w:cs="宋体"/>
          <w:color w:val="000000"/>
          <w:kern w:val="0"/>
          <w:sz w:val="24"/>
          <w:szCs w:val="24"/>
        </w:rPr>
        <w:t>测定仪上的计量参数有</w:t>
      </w:r>
      <w:r>
        <w:rPr>
          <w:rFonts w:hint="eastAsia" w:ascii="宋体" w:hAnsi="Times New Roman" w:cs="宋体"/>
          <w:color w:val="000000"/>
          <w:kern w:val="0"/>
          <w:sz w:val="24"/>
          <w:szCs w:val="24"/>
        </w:rPr>
        <w:t>成焦箱</w:t>
      </w:r>
      <w:r>
        <w:rPr>
          <w:rFonts w:ascii="宋体" w:hAnsi="Times New Roman" w:cs="宋体"/>
          <w:color w:val="000000"/>
          <w:kern w:val="0"/>
          <w:sz w:val="24"/>
          <w:szCs w:val="24"/>
        </w:rPr>
        <w:t>的温度、氮气流量、计时器三个，氮气流量表是嵌入在微量残炭仪的整体仪器上的，可以使用</w:t>
      </w:r>
      <w:r>
        <w:rPr>
          <w:rFonts w:hint="eastAsia" w:ascii="宋体" w:hAnsi="Times New Roman" w:cs="宋体"/>
          <w:color w:val="000000"/>
          <w:kern w:val="0"/>
          <w:sz w:val="24"/>
          <w:szCs w:val="24"/>
        </w:rPr>
        <w:t>皂膜流量计</w:t>
      </w:r>
      <w:r>
        <w:rPr>
          <w:rFonts w:ascii="宋体" w:hAnsi="Times New Roman" w:cs="宋体"/>
          <w:color w:val="000000"/>
          <w:kern w:val="0"/>
          <w:sz w:val="24"/>
          <w:szCs w:val="24"/>
        </w:rPr>
        <w:t>进行现场流量测试，但考虑到此处的流量</w:t>
      </w:r>
      <w:r>
        <w:rPr>
          <w:rFonts w:hint="eastAsia" w:ascii="宋体" w:hAnsi="Times New Roman" w:cs="宋体"/>
          <w:color w:val="000000"/>
          <w:kern w:val="0"/>
          <w:sz w:val="24"/>
          <w:szCs w:val="24"/>
        </w:rPr>
        <w:t>只是</w:t>
      </w:r>
      <w:r>
        <w:rPr>
          <w:rFonts w:ascii="宋体" w:hAnsi="Times New Roman" w:cs="宋体"/>
          <w:color w:val="000000"/>
          <w:kern w:val="0"/>
          <w:sz w:val="24"/>
          <w:szCs w:val="24"/>
        </w:rPr>
        <w:t>提供</w:t>
      </w:r>
      <w:r>
        <w:rPr>
          <w:rFonts w:hint="eastAsia" w:ascii="宋体" w:hAnsi="Times New Roman" w:cs="宋体"/>
          <w:color w:val="000000"/>
          <w:kern w:val="0"/>
          <w:sz w:val="24"/>
          <w:szCs w:val="24"/>
        </w:rPr>
        <w:t>测试</w:t>
      </w:r>
      <w:r>
        <w:rPr>
          <w:rFonts w:ascii="宋体" w:hAnsi="Times New Roman" w:cs="宋体"/>
          <w:color w:val="000000"/>
          <w:kern w:val="0"/>
          <w:sz w:val="24"/>
          <w:szCs w:val="24"/>
        </w:rPr>
        <w:t>的无氧环境和</w:t>
      </w:r>
      <w:r>
        <w:rPr>
          <w:rFonts w:hint="eastAsia" w:ascii="宋体" w:hAnsi="Times New Roman" w:cs="宋体"/>
          <w:color w:val="000000"/>
          <w:kern w:val="0"/>
          <w:sz w:val="24"/>
          <w:szCs w:val="24"/>
        </w:rPr>
        <w:t>降温</w:t>
      </w:r>
      <w:r>
        <w:rPr>
          <w:rFonts w:ascii="宋体" w:hAnsi="Times New Roman" w:cs="宋体"/>
          <w:color w:val="000000"/>
          <w:kern w:val="0"/>
          <w:sz w:val="24"/>
          <w:szCs w:val="24"/>
        </w:rPr>
        <w:t>冷却</w:t>
      </w:r>
      <w:r>
        <w:rPr>
          <w:rFonts w:hint="eastAsia" w:ascii="宋体" w:hAnsi="Times New Roman" w:cs="宋体"/>
          <w:color w:val="000000"/>
          <w:kern w:val="0"/>
          <w:sz w:val="24"/>
          <w:szCs w:val="24"/>
        </w:rPr>
        <w:t>作用</w:t>
      </w:r>
      <w:r>
        <w:rPr>
          <w:rFonts w:ascii="宋体" w:hAnsi="Times New Roman" w:cs="宋体"/>
          <w:color w:val="000000"/>
          <w:kern w:val="0"/>
          <w:sz w:val="24"/>
          <w:szCs w:val="24"/>
        </w:rPr>
        <w:t>，</w:t>
      </w:r>
      <w:r>
        <w:rPr>
          <w:rFonts w:hint="eastAsia" w:ascii="宋体" w:hAnsi="Times New Roman" w:cs="宋体"/>
          <w:color w:val="000000"/>
          <w:kern w:val="0"/>
          <w:sz w:val="24"/>
          <w:szCs w:val="24"/>
        </w:rPr>
        <w:t>只要</w:t>
      </w:r>
      <w:r>
        <w:rPr>
          <w:rFonts w:ascii="宋体" w:hAnsi="Times New Roman" w:cs="宋体"/>
          <w:color w:val="000000"/>
          <w:kern w:val="0"/>
          <w:sz w:val="24"/>
          <w:szCs w:val="24"/>
        </w:rPr>
        <w:t>所用的氮气达到</w:t>
      </w:r>
      <w:r>
        <w:rPr>
          <w:rFonts w:hint="eastAsia"/>
          <w:sz w:val="24"/>
        </w:rPr>
        <w:t>纯度在98.5%以上就对最终</w:t>
      </w:r>
      <w:r>
        <w:rPr>
          <w:sz w:val="24"/>
        </w:rPr>
        <w:t>的残炭测量没有影响</w:t>
      </w:r>
      <w:bookmarkStart w:id="27" w:name="OLE_LINK22"/>
      <w:bookmarkStart w:id="28" w:name="OLE_LINK21"/>
      <w:r>
        <w:rPr>
          <w:sz w:val="24"/>
        </w:rPr>
        <w:t>，因此此处不予考虑</w:t>
      </w:r>
      <w:bookmarkEnd w:id="27"/>
      <w:bookmarkEnd w:id="28"/>
      <w:r>
        <w:rPr>
          <w:rFonts w:hint="eastAsia"/>
          <w:sz w:val="24"/>
        </w:rPr>
        <w:t>；</w:t>
      </w:r>
      <w:r>
        <w:rPr>
          <w:sz w:val="24"/>
        </w:rPr>
        <w:t>计时器所带来的误差相较于</w:t>
      </w:r>
      <w:r>
        <w:rPr>
          <w:rFonts w:hint="eastAsia"/>
          <w:sz w:val="24"/>
        </w:rPr>
        <w:t>15</w:t>
      </w:r>
      <w:r>
        <w:rPr>
          <w:sz w:val="24"/>
        </w:rPr>
        <w:t>min</w:t>
      </w:r>
      <w:r>
        <w:rPr>
          <w:rFonts w:hint="eastAsia"/>
          <w:sz w:val="24"/>
        </w:rPr>
        <w:t>这种</w:t>
      </w:r>
      <w:r>
        <w:rPr>
          <w:sz w:val="24"/>
        </w:rPr>
        <w:t>长度的计时对残炭值结果影响可以忽略不计，因此此处不予考虑</w:t>
      </w:r>
      <w:r>
        <w:rPr>
          <w:rFonts w:hint="eastAsia"/>
          <w:sz w:val="24"/>
        </w:rPr>
        <w:t>。</w:t>
      </w:r>
    </w:p>
    <w:p w14:paraId="3BB3F165">
      <w:pPr>
        <w:pStyle w:val="16"/>
        <w:tabs>
          <w:tab w:val="left" w:pos="0"/>
        </w:tabs>
        <w:spacing w:line="360" w:lineRule="auto"/>
        <w:ind w:firstLine="480"/>
        <w:jc w:val="left"/>
        <w:rPr>
          <w:rFonts w:hint="eastAsia" w:eastAsia="宋体"/>
          <w:sz w:val="24"/>
          <w:lang w:val="en-US" w:eastAsia="zh-CN"/>
        </w:rPr>
      </w:pPr>
      <w:r>
        <w:rPr>
          <w:sz w:val="24"/>
        </w:rPr>
        <w:t>由于</w:t>
      </w:r>
      <w:r>
        <w:rPr>
          <w:rFonts w:hint="eastAsia"/>
          <w:sz w:val="24"/>
        </w:rPr>
        <w:t>放入成焦箱内</w:t>
      </w:r>
      <w:r>
        <w:rPr>
          <w:sz w:val="24"/>
        </w:rPr>
        <w:t>测试的样品架可以放入</w:t>
      </w:r>
      <w:r>
        <w:rPr>
          <w:rFonts w:hint="eastAsia"/>
          <w:sz w:val="24"/>
        </w:rPr>
        <w:t>6~12个</w:t>
      </w:r>
      <w:r>
        <w:rPr>
          <w:sz w:val="24"/>
        </w:rPr>
        <w:t>不等的样品管，因此成焦箱内的</w:t>
      </w:r>
      <w:r>
        <w:rPr>
          <w:rFonts w:hint="eastAsia"/>
          <w:sz w:val="24"/>
        </w:rPr>
        <w:t>均匀度</w:t>
      </w:r>
      <w:r>
        <w:rPr>
          <w:sz w:val="24"/>
        </w:rPr>
        <w:t>对测试的精密度影响较大，</w:t>
      </w:r>
      <w:r>
        <w:rPr>
          <w:rFonts w:hint="eastAsia"/>
          <w:sz w:val="24"/>
        </w:rPr>
        <w:t>样品在500℃下恒温保持15min是标准程序的核心步骤因此</w:t>
      </w:r>
      <w:r>
        <w:rPr>
          <w:sz w:val="24"/>
        </w:rPr>
        <w:t>成焦箱中温度的示值误差和温度稳定度</w:t>
      </w:r>
      <w:r>
        <w:rPr>
          <w:rFonts w:hint="eastAsia"/>
          <w:sz w:val="24"/>
        </w:rPr>
        <w:t>均是</w:t>
      </w:r>
      <w:r>
        <w:rPr>
          <w:sz w:val="24"/>
        </w:rPr>
        <w:t>重点计量</w:t>
      </w:r>
      <w:r>
        <w:rPr>
          <w:rFonts w:hint="eastAsia"/>
          <w:sz w:val="24"/>
        </w:rPr>
        <w:t>目标。</w:t>
      </w:r>
      <w:r>
        <w:rPr>
          <w:rFonts w:hint="eastAsia"/>
          <w:sz w:val="24"/>
          <w:lang w:eastAsia="zh-CN"/>
        </w:rPr>
        <w:t>但由于残炭测定仪市场售价不高，因此很多厂家在成焦炉的制造上成本不高，导致均匀度并不理想，稳定度和示值误差与国家标准有一定不符合。</w:t>
      </w:r>
    </w:p>
    <w:p w14:paraId="475DBD57">
      <w:pPr>
        <w:pStyle w:val="16"/>
        <w:tabs>
          <w:tab w:val="left" w:pos="0"/>
        </w:tabs>
        <w:spacing w:line="360" w:lineRule="auto"/>
        <w:ind w:firstLine="480"/>
        <w:jc w:val="left"/>
        <w:rPr>
          <w:rFonts w:hint="eastAsia" w:ascii="宋体" w:hAnsi="Times New Roman" w:cs="宋体"/>
          <w:color w:val="000000"/>
          <w:kern w:val="0"/>
          <w:sz w:val="24"/>
          <w:szCs w:val="24"/>
        </w:rPr>
      </w:pPr>
      <w:r>
        <w:rPr>
          <w:rFonts w:hint="eastAsia" w:ascii="宋体" w:hAnsi="Times New Roman" w:cs="宋体"/>
          <w:color w:val="000000"/>
          <w:kern w:val="0"/>
          <w:sz w:val="24"/>
          <w:szCs w:val="24"/>
        </w:rPr>
        <w:t>仪器</w:t>
      </w:r>
      <w:r>
        <w:rPr>
          <w:rFonts w:ascii="宋体" w:hAnsi="Times New Roman" w:cs="宋体"/>
          <w:color w:val="000000"/>
          <w:kern w:val="0"/>
          <w:sz w:val="24"/>
          <w:szCs w:val="24"/>
        </w:rPr>
        <w:t>的升温速率同样关系到</w:t>
      </w:r>
      <w:r>
        <w:rPr>
          <w:rFonts w:hint="eastAsia" w:ascii="宋体" w:hAnsi="Times New Roman" w:cs="宋体"/>
          <w:color w:val="000000"/>
          <w:kern w:val="0"/>
          <w:sz w:val="24"/>
          <w:szCs w:val="24"/>
        </w:rPr>
        <w:t>残炭</w:t>
      </w:r>
      <w:r>
        <w:rPr>
          <w:rFonts w:ascii="宋体" w:hAnsi="Times New Roman" w:cs="宋体"/>
          <w:color w:val="000000"/>
          <w:kern w:val="0"/>
          <w:sz w:val="24"/>
          <w:szCs w:val="24"/>
        </w:rPr>
        <w:t>值的结果，国家标准规定微量法残炭测定仪</w:t>
      </w:r>
      <w:r>
        <w:rPr>
          <w:rFonts w:hint="eastAsia" w:ascii="宋体" w:hAnsi="Times New Roman" w:cs="宋体"/>
          <w:color w:val="000000"/>
          <w:kern w:val="0"/>
          <w:sz w:val="24"/>
          <w:szCs w:val="24"/>
        </w:rPr>
        <w:t>的</w:t>
      </w:r>
      <w:r>
        <w:rPr>
          <w:rFonts w:ascii="宋体" w:hAnsi="Times New Roman" w:cs="宋体"/>
          <w:color w:val="000000"/>
          <w:kern w:val="0"/>
          <w:sz w:val="24"/>
          <w:szCs w:val="24"/>
        </w:rPr>
        <w:t>升温速率</w:t>
      </w:r>
      <w:r>
        <w:rPr>
          <w:rFonts w:hint="eastAsia" w:ascii="宋体" w:cs="宋体"/>
          <w:color w:val="000000"/>
          <w:kern w:val="0"/>
          <w:sz w:val="24"/>
        </w:rPr>
        <w:t>（</w:t>
      </w:r>
      <w:r>
        <w:rPr>
          <w:rFonts w:ascii="Times New Roman" w:hAnsi="Times New Roman" w:cs="Times New Roman"/>
          <w:color w:val="000000"/>
          <w:kern w:val="0"/>
          <w:sz w:val="24"/>
        </w:rPr>
        <w:t>10~15</w:t>
      </w:r>
      <w:r>
        <w:rPr>
          <w:rFonts w:hint="eastAsia" w:ascii="宋体" w:cs="宋体"/>
          <w:color w:val="000000"/>
          <w:kern w:val="0"/>
          <w:sz w:val="24"/>
        </w:rPr>
        <w:t>）</w:t>
      </w:r>
      <w:r>
        <w:rPr>
          <w:rFonts w:hint="eastAsia" w:ascii="宋体" w:hAnsi="宋体" w:cs="宋体"/>
          <w:color w:val="000000"/>
          <w:kern w:val="0"/>
          <w:sz w:val="24"/>
        </w:rPr>
        <w:t>℃</w:t>
      </w:r>
      <w:r>
        <w:rPr>
          <w:rFonts w:ascii="Times New Roman" w:hAnsi="Times New Roman" w:cs="Times New Roman"/>
          <w:color w:val="000000"/>
          <w:kern w:val="0"/>
          <w:sz w:val="24"/>
        </w:rPr>
        <w:t>/min</w:t>
      </w:r>
      <w:r>
        <w:rPr>
          <w:rFonts w:hint="eastAsia" w:ascii="Times New Roman" w:hAnsi="Times New Roman" w:cs="Times New Roman"/>
          <w:color w:val="000000"/>
          <w:kern w:val="0"/>
          <w:sz w:val="24"/>
        </w:rPr>
        <w:t>，</w:t>
      </w:r>
      <w:r>
        <w:rPr>
          <w:rFonts w:ascii="Times New Roman" w:hAnsi="Times New Roman" w:cs="Times New Roman"/>
          <w:color w:val="000000"/>
          <w:kern w:val="0"/>
          <w:sz w:val="24"/>
        </w:rPr>
        <w:t>其影响包含在标准物质的不</w:t>
      </w:r>
      <w:r>
        <w:rPr>
          <w:rFonts w:hint="eastAsia" w:ascii="Times New Roman" w:hAnsi="Times New Roman" w:cs="Times New Roman"/>
          <w:color w:val="000000"/>
          <w:kern w:val="0"/>
          <w:sz w:val="24"/>
        </w:rPr>
        <w:t>确定度</w:t>
      </w:r>
      <w:r>
        <w:rPr>
          <w:rFonts w:ascii="Times New Roman" w:hAnsi="Times New Roman" w:cs="Times New Roman"/>
          <w:color w:val="000000"/>
          <w:kern w:val="0"/>
          <w:sz w:val="24"/>
        </w:rPr>
        <w:t>中，在进行整机</w:t>
      </w:r>
      <w:r>
        <w:rPr>
          <w:rFonts w:hint="eastAsia" w:ascii="Times New Roman" w:hAnsi="Times New Roman" w:cs="Times New Roman"/>
          <w:color w:val="000000"/>
          <w:kern w:val="0"/>
          <w:sz w:val="24"/>
        </w:rPr>
        <w:t>校准时</w:t>
      </w:r>
      <w:r>
        <w:rPr>
          <w:rFonts w:ascii="Times New Roman" w:hAnsi="Times New Roman" w:cs="Times New Roman"/>
          <w:color w:val="000000"/>
          <w:kern w:val="0"/>
          <w:sz w:val="24"/>
        </w:rPr>
        <w:t>已经包含此部分的影响。</w:t>
      </w:r>
    </w:p>
    <w:p w14:paraId="1A687D2A">
      <w:pPr>
        <w:numPr>
          <w:ilvl w:val="0"/>
          <w:numId w:val="0"/>
        </w:numPr>
        <w:spacing w:line="440" w:lineRule="exact"/>
        <w:ind w:leftChars="0"/>
        <w:rPr>
          <w:rFonts w:hint="eastAsia" w:eastAsia="黑体"/>
          <w:sz w:val="28"/>
          <w:szCs w:val="28"/>
          <w:lang w:val="en-US" w:eastAsia="zh-CN"/>
        </w:rPr>
      </w:pPr>
      <w:r>
        <w:rPr>
          <w:rFonts w:hint="eastAsia" w:eastAsia="黑体"/>
          <w:sz w:val="28"/>
          <w:szCs w:val="28"/>
          <w:lang w:val="en-US" w:eastAsia="zh-CN"/>
        </w:rPr>
        <w:t>5  重大分歧意见的处理结果和依据</w:t>
      </w:r>
    </w:p>
    <w:p w14:paraId="5DF544CA">
      <w:pPr>
        <w:autoSpaceDE w:val="0"/>
        <w:autoSpaceDN w:val="0"/>
        <w:adjustRightInd w:val="0"/>
        <w:spacing w:line="500" w:lineRule="exact"/>
        <w:ind w:firstLine="460" w:firstLineChars="192"/>
        <w:rPr>
          <w:rFonts w:hint="eastAsia" w:ascii="宋体" w:cs="宋体"/>
          <w:color w:val="000000"/>
          <w:kern w:val="0"/>
          <w:sz w:val="24"/>
          <w:lang w:val="en-US" w:eastAsia="zh-CN"/>
        </w:rPr>
      </w:pPr>
      <w:r>
        <w:rPr>
          <w:rFonts w:hint="eastAsia" w:ascii="宋体" w:cs="宋体"/>
          <w:color w:val="000000"/>
          <w:kern w:val="0"/>
          <w:sz w:val="24"/>
          <w:lang w:val="en-US" w:eastAsia="zh-CN"/>
        </w:rPr>
        <w:t>本次国家规范为首次制定，不存在重大分歧意见。</w:t>
      </w:r>
    </w:p>
    <w:p w14:paraId="30648011">
      <w:pPr>
        <w:keepNext w:val="0"/>
        <w:keepLines w:val="0"/>
        <w:widowControl/>
        <w:suppressLineNumbers w:val="0"/>
        <w:jc w:val="left"/>
        <w:rPr>
          <w:rFonts w:hint="default" w:eastAsia="黑体"/>
          <w:sz w:val="28"/>
          <w:szCs w:val="28"/>
          <w:lang w:val="en-US" w:eastAsia="zh-CN"/>
        </w:rPr>
      </w:pPr>
      <w:r>
        <w:rPr>
          <w:rFonts w:hint="eastAsia" w:eastAsia="黑体"/>
          <w:sz w:val="28"/>
          <w:szCs w:val="28"/>
          <w:lang w:val="en-US" w:eastAsia="zh-CN"/>
        </w:rPr>
        <w:t>6  实施技术规范的风险评估及对经济社会发展可能产生的影响</w:t>
      </w:r>
    </w:p>
    <w:p w14:paraId="6BF2038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lang w:eastAsia="zh-CN"/>
        </w:rPr>
      </w:pPr>
      <w:r>
        <w:rPr>
          <w:rFonts w:hint="eastAsia"/>
          <w:sz w:val="24"/>
          <w:szCs w:val="24"/>
          <w:lang w:val="en-US" w:eastAsia="zh-CN"/>
        </w:rPr>
        <w:t>本技术规范在编制过程中涉及计量特性的参数，参数的确认是通过市场上仪器测试标准物质的结果通过汇总统计出来，计量特性的限值是在95%数据均满足要求的情况下确认的，但还是有部分厂家的测量结果超过该限制，在该规范发布后</w:t>
      </w:r>
      <w:r>
        <w:rPr>
          <w:rFonts w:ascii="宋体" w:hAnsi="宋体" w:eastAsia="宋体" w:cs="宋体"/>
          <w:sz w:val="24"/>
          <w:szCs w:val="24"/>
        </w:rPr>
        <w:t>旧设备无法满足新规范要求，企业需强制更新</w:t>
      </w:r>
      <w:r>
        <w:rPr>
          <w:rFonts w:hint="eastAsia" w:ascii="宋体" w:hAnsi="宋体" w:cs="宋体"/>
          <w:sz w:val="24"/>
          <w:szCs w:val="24"/>
          <w:lang w:eastAsia="zh-CN"/>
        </w:rPr>
        <w:t>。</w:t>
      </w:r>
    </w:p>
    <w:p w14:paraId="08DABA9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sz w:val="28"/>
          <w:szCs w:val="28"/>
          <w:lang w:val="en-US" w:eastAsia="zh-CN"/>
        </w:rPr>
      </w:pPr>
      <w:r>
        <w:rPr>
          <w:rFonts w:hint="eastAsia" w:ascii="宋体" w:hAnsi="宋体" w:cs="宋体"/>
          <w:sz w:val="24"/>
          <w:szCs w:val="24"/>
          <w:lang w:val="en-US" w:eastAsia="zh-CN"/>
        </w:rPr>
        <w:t>对经济社会发展有积极作用，</w:t>
      </w:r>
      <w:r>
        <w:rPr>
          <w:rFonts w:ascii="宋体" w:hAnsi="宋体" w:eastAsia="宋体" w:cs="宋体"/>
          <w:sz w:val="24"/>
          <w:szCs w:val="24"/>
        </w:rPr>
        <w:t>推动行业标准化、自动化，提升全要素生产率</w:t>
      </w:r>
      <w:r>
        <w:rPr>
          <w:rFonts w:hint="eastAsia" w:ascii="宋体" w:hAnsi="宋体" w:cs="宋体"/>
          <w:sz w:val="24"/>
          <w:szCs w:val="24"/>
          <w:lang w:eastAsia="zh-CN"/>
        </w:rPr>
        <w:t>，</w:t>
      </w:r>
      <w:r>
        <w:rPr>
          <w:rFonts w:ascii="宋体" w:hAnsi="宋体" w:eastAsia="宋体" w:cs="宋体"/>
          <w:sz w:val="24"/>
          <w:szCs w:val="24"/>
        </w:rPr>
        <w:t>淘汰落后产能，优化产业结构</w:t>
      </w:r>
      <w:r>
        <w:rPr>
          <w:rFonts w:hint="eastAsia" w:ascii="宋体" w:hAnsi="宋体" w:cs="宋体"/>
          <w:sz w:val="24"/>
          <w:szCs w:val="24"/>
          <w:lang w:eastAsia="zh-CN"/>
        </w:rPr>
        <w:t>。</w:t>
      </w:r>
    </w:p>
    <w:p w14:paraId="02071777">
      <w:pPr>
        <w:keepNext w:val="0"/>
        <w:keepLines w:val="0"/>
        <w:widowControl/>
        <w:suppressLineNumbers w:val="0"/>
        <w:jc w:val="left"/>
        <w:rPr>
          <w:rFonts w:hint="eastAsia" w:eastAsia="黑体"/>
          <w:sz w:val="28"/>
          <w:szCs w:val="28"/>
          <w:lang w:val="en-US" w:eastAsia="zh-CN"/>
        </w:rPr>
      </w:pPr>
      <w:r>
        <w:rPr>
          <w:rFonts w:hint="eastAsia" w:eastAsia="黑体"/>
          <w:sz w:val="28"/>
          <w:szCs w:val="28"/>
          <w:lang w:val="en-US" w:eastAsia="zh-CN"/>
        </w:rPr>
        <w:t>7  贯彻实施国家计量技术规范的要求、措施、过渡期和实施日期等建议</w:t>
      </w:r>
    </w:p>
    <w:p w14:paraId="4CBADD86">
      <w:pPr>
        <w:autoSpaceDE w:val="0"/>
        <w:autoSpaceDN w:val="0"/>
        <w:adjustRightInd w:val="0"/>
        <w:spacing w:line="500" w:lineRule="exact"/>
        <w:ind w:firstLine="460" w:firstLineChars="192"/>
        <w:rPr>
          <w:rFonts w:hint="default" w:ascii="宋体" w:cs="宋体"/>
          <w:color w:val="000000"/>
          <w:kern w:val="0"/>
          <w:sz w:val="24"/>
          <w:lang w:val="en-US" w:eastAsia="zh-CN"/>
        </w:rPr>
      </w:pPr>
      <w:r>
        <w:rPr>
          <w:rFonts w:hint="eastAsia" w:ascii="宋体" w:cs="宋体"/>
          <w:color w:val="000000"/>
          <w:kern w:val="0"/>
          <w:sz w:val="24"/>
          <w:lang w:val="en-US" w:eastAsia="zh-CN"/>
        </w:rPr>
        <w:t>建议规范发布后，由委员会或者计量主管部门组织召开宣贯和推广工作，并且鼓励各级市场监管部门、各有关政府部门、行业协会、计量 技术机构采用多种形式开展国家计量技术规范的宣传和推广工作。规范上注明发布时间，在发布时间后设置为期6个月的过渡期，过渡期的主要任务应聚焦于完成培训、资源配置、方法确认、文件更新以及人员考核。过渡期后是实施日期，自实施日期开始，所有相关计量活动（新开展的检定、校准、检测、型式评价等）必须严格依据新规范进行。</w:t>
      </w:r>
    </w:p>
    <w:p w14:paraId="677C0CBE">
      <w:pPr>
        <w:numPr>
          <w:ilvl w:val="0"/>
          <w:numId w:val="0"/>
        </w:numPr>
        <w:spacing w:line="440" w:lineRule="exact"/>
        <w:ind w:leftChars="0"/>
        <w:rPr>
          <w:rFonts w:eastAsia="黑体"/>
          <w:sz w:val="28"/>
          <w:szCs w:val="28"/>
        </w:rPr>
      </w:pPr>
      <w:r>
        <w:rPr>
          <w:rFonts w:hint="eastAsia" w:eastAsia="黑体"/>
          <w:sz w:val="28"/>
          <w:szCs w:val="28"/>
          <w:lang w:val="en-US" w:eastAsia="zh-CN"/>
        </w:rPr>
        <w:t xml:space="preserve">8  </w:t>
      </w:r>
      <w:r>
        <w:rPr>
          <w:rFonts w:hint="eastAsia" w:eastAsia="黑体"/>
          <w:sz w:val="28"/>
          <w:szCs w:val="28"/>
        </w:rPr>
        <w:t>涉及专利的有关说明</w:t>
      </w:r>
    </w:p>
    <w:p w14:paraId="7F69E204">
      <w:pPr>
        <w:autoSpaceDE w:val="0"/>
        <w:autoSpaceDN w:val="0"/>
        <w:adjustRightInd w:val="0"/>
        <w:spacing w:line="500" w:lineRule="exact"/>
        <w:ind w:firstLine="460" w:firstLineChars="192"/>
        <w:rPr>
          <w:rFonts w:hint="eastAsia" w:ascii="宋体" w:cs="宋体"/>
          <w:color w:val="000000"/>
          <w:kern w:val="0"/>
          <w:sz w:val="24"/>
          <w:lang w:val="en-US" w:eastAsia="zh-CN"/>
        </w:rPr>
      </w:pPr>
      <w:r>
        <w:rPr>
          <w:rFonts w:hint="eastAsia" w:ascii="宋体" w:cs="宋体"/>
          <w:color w:val="000000"/>
          <w:kern w:val="0"/>
          <w:sz w:val="24"/>
          <w:lang w:val="en-US" w:eastAsia="zh-CN"/>
        </w:rPr>
        <w:t>没有涉及专利的情况。</w:t>
      </w:r>
    </w:p>
    <w:p w14:paraId="1C9753B8">
      <w:pPr>
        <w:numPr>
          <w:ilvl w:val="0"/>
          <w:numId w:val="0"/>
        </w:numPr>
        <w:spacing w:line="440" w:lineRule="exact"/>
        <w:ind w:leftChars="0"/>
        <w:rPr>
          <w:rFonts w:hint="eastAsia" w:eastAsia="黑体"/>
          <w:sz w:val="28"/>
          <w:szCs w:val="28"/>
        </w:rPr>
      </w:pPr>
      <w:r>
        <w:rPr>
          <w:rFonts w:hint="eastAsia" w:eastAsia="黑体"/>
          <w:sz w:val="28"/>
          <w:szCs w:val="28"/>
          <w:lang w:val="en-US" w:eastAsia="zh-CN"/>
        </w:rPr>
        <w:t xml:space="preserve">9  </w:t>
      </w:r>
      <w:r>
        <w:rPr>
          <w:rFonts w:hint="eastAsia" w:eastAsia="黑体"/>
          <w:sz w:val="28"/>
          <w:szCs w:val="28"/>
        </w:rPr>
        <w:t>其他应当说明的事项</w:t>
      </w:r>
    </w:p>
    <w:p w14:paraId="3E04629C">
      <w:pPr>
        <w:autoSpaceDE w:val="0"/>
        <w:autoSpaceDN w:val="0"/>
        <w:adjustRightInd w:val="0"/>
        <w:spacing w:line="500" w:lineRule="exact"/>
        <w:ind w:firstLine="460" w:firstLineChars="192"/>
        <w:rPr>
          <w:rFonts w:hint="eastAsia" w:ascii="宋体" w:cs="宋体"/>
          <w:color w:val="000000"/>
          <w:kern w:val="0"/>
          <w:sz w:val="24"/>
        </w:rPr>
      </w:pPr>
      <w:r>
        <w:rPr>
          <w:rFonts w:hint="eastAsia" w:ascii="宋体" w:cs="宋体"/>
          <w:color w:val="000000"/>
          <w:kern w:val="0"/>
          <w:sz w:val="24"/>
          <w:lang w:val="en-US" w:eastAsia="zh-CN"/>
        </w:rPr>
        <w:t>无</w:t>
      </w:r>
    </w:p>
    <w:p w14:paraId="660BA2E8">
      <w:pPr>
        <w:numPr>
          <w:ilvl w:val="0"/>
          <w:numId w:val="0"/>
        </w:numPr>
        <w:spacing w:line="440" w:lineRule="exact"/>
        <w:ind w:left="840" w:leftChars="0" w:hanging="840" w:hangingChars="300"/>
        <w:rPr>
          <w:rFonts w:hint="eastAsia" w:eastAsia="黑体"/>
          <w:sz w:val="28"/>
          <w:szCs w:val="28"/>
          <w:highlight w:val="none"/>
        </w:rPr>
      </w:pPr>
    </w:p>
    <w:p w14:paraId="1339AD8D">
      <w:pPr>
        <w:spacing w:line="440" w:lineRule="exact"/>
        <w:ind w:left="480"/>
        <w:rPr>
          <w:sz w:val="24"/>
        </w:rPr>
      </w:pPr>
    </w:p>
    <w:p w14:paraId="1FC2E0A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6170401"/>
      <w:docPartObj>
        <w:docPartGallery w:val="autotext"/>
      </w:docPartObj>
    </w:sdtPr>
    <w:sdtContent>
      <w:p w14:paraId="3D4CDEE6">
        <w:pPr>
          <w:pStyle w:val="4"/>
          <w:jc w:val="center"/>
        </w:pPr>
        <w:r>
          <w:fldChar w:fldCharType="begin"/>
        </w:r>
        <w:r>
          <w:instrText xml:space="preserve">PAGE   \* MERGEFORMAT</w:instrText>
        </w:r>
        <w:r>
          <w:fldChar w:fldCharType="separate"/>
        </w:r>
        <w:r>
          <w:rPr>
            <w:lang w:val="zh-CN"/>
          </w:rPr>
          <w:t>1</w:t>
        </w:r>
        <w:r>
          <w:fldChar w:fldCharType="end"/>
        </w:r>
      </w:p>
    </w:sdtContent>
  </w:sdt>
  <w:p w14:paraId="1A989D45">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76081B"/>
    <w:multiLevelType w:val="multilevel"/>
    <w:tmpl w:val="1C76081B"/>
    <w:lvl w:ilvl="0" w:tentative="0">
      <w:start w:val="1"/>
      <w:numFmt w:val="decimal"/>
      <w:lvlText w:val="%1."/>
      <w:lvlJc w:val="left"/>
      <w:pPr>
        <w:ind w:left="821" w:hanging="360"/>
      </w:pPr>
      <w:rPr>
        <w:rFonts w:hint="default"/>
      </w:rPr>
    </w:lvl>
    <w:lvl w:ilvl="1" w:tentative="0">
      <w:start w:val="1"/>
      <w:numFmt w:val="lowerLetter"/>
      <w:lvlText w:val="%2)"/>
      <w:lvlJc w:val="left"/>
      <w:pPr>
        <w:ind w:left="1301" w:hanging="420"/>
      </w:pPr>
    </w:lvl>
    <w:lvl w:ilvl="2" w:tentative="0">
      <w:start w:val="1"/>
      <w:numFmt w:val="lowerRoman"/>
      <w:lvlText w:val="%3."/>
      <w:lvlJc w:val="right"/>
      <w:pPr>
        <w:ind w:left="1721" w:hanging="420"/>
      </w:pPr>
    </w:lvl>
    <w:lvl w:ilvl="3" w:tentative="0">
      <w:start w:val="1"/>
      <w:numFmt w:val="decimal"/>
      <w:lvlText w:val="%4."/>
      <w:lvlJc w:val="left"/>
      <w:pPr>
        <w:ind w:left="2141" w:hanging="420"/>
      </w:pPr>
    </w:lvl>
    <w:lvl w:ilvl="4" w:tentative="0">
      <w:start w:val="1"/>
      <w:numFmt w:val="lowerLetter"/>
      <w:lvlText w:val="%5)"/>
      <w:lvlJc w:val="left"/>
      <w:pPr>
        <w:ind w:left="2561" w:hanging="420"/>
      </w:pPr>
    </w:lvl>
    <w:lvl w:ilvl="5" w:tentative="0">
      <w:start w:val="1"/>
      <w:numFmt w:val="lowerRoman"/>
      <w:lvlText w:val="%6."/>
      <w:lvlJc w:val="right"/>
      <w:pPr>
        <w:ind w:left="2981" w:hanging="420"/>
      </w:pPr>
    </w:lvl>
    <w:lvl w:ilvl="6" w:tentative="0">
      <w:start w:val="1"/>
      <w:numFmt w:val="decimal"/>
      <w:lvlText w:val="%7."/>
      <w:lvlJc w:val="left"/>
      <w:pPr>
        <w:ind w:left="3401" w:hanging="420"/>
      </w:pPr>
    </w:lvl>
    <w:lvl w:ilvl="7" w:tentative="0">
      <w:start w:val="1"/>
      <w:numFmt w:val="lowerLetter"/>
      <w:lvlText w:val="%8)"/>
      <w:lvlJc w:val="left"/>
      <w:pPr>
        <w:ind w:left="3821" w:hanging="420"/>
      </w:pPr>
    </w:lvl>
    <w:lvl w:ilvl="8" w:tentative="0">
      <w:start w:val="1"/>
      <w:numFmt w:val="lowerRoman"/>
      <w:lvlText w:val="%9."/>
      <w:lvlJc w:val="right"/>
      <w:pPr>
        <w:ind w:left="4241" w:hanging="420"/>
      </w:pPr>
    </w:lvl>
  </w:abstractNum>
  <w:abstractNum w:abstractNumId="1">
    <w:nsid w:val="67545D00"/>
    <w:multiLevelType w:val="multilevel"/>
    <w:tmpl w:val="67545D0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iNDVhYmNiNmJmOWE2ZGZhYWIzNTZiYTQxZjVhYjUifQ=="/>
    <w:docVar w:name="KSO_WPS_MARK_KEY" w:val="e09e88f8-7ec3-43a8-becb-8d3f336b12c0"/>
  </w:docVars>
  <w:rsids>
    <w:rsidRoot w:val="00302AD2"/>
    <w:rsid w:val="00302AD2"/>
    <w:rsid w:val="005355E3"/>
    <w:rsid w:val="007A0AEA"/>
    <w:rsid w:val="0082648E"/>
    <w:rsid w:val="00B70A6C"/>
    <w:rsid w:val="017320FB"/>
    <w:rsid w:val="053A65C6"/>
    <w:rsid w:val="0AE962F7"/>
    <w:rsid w:val="0C0076B2"/>
    <w:rsid w:val="12ED39F4"/>
    <w:rsid w:val="13D33102"/>
    <w:rsid w:val="157E37A9"/>
    <w:rsid w:val="1BF86ED0"/>
    <w:rsid w:val="1DB87F26"/>
    <w:rsid w:val="1E57048B"/>
    <w:rsid w:val="25E6682C"/>
    <w:rsid w:val="28316CE0"/>
    <w:rsid w:val="2F012479"/>
    <w:rsid w:val="325E07CB"/>
    <w:rsid w:val="37F46B3F"/>
    <w:rsid w:val="3AE80991"/>
    <w:rsid w:val="3B3B601E"/>
    <w:rsid w:val="3C280096"/>
    <w:rsid w:val="3CA803D8"/>
    <w:rsid w:val="435816D4"/>
    <w:rsid w:val="47EF360C"/>
    <w:rsid w:val="519C309C"/>
    <w:rsid w:val="53C54A7E"/>
    <w:rsid w:val="5ED6087B"/>
    <w:rsid w:val="617D1584"/>
    <w:rsid w:val="65EE2A50"/>
    <w:rsid w:val="667C0F6F"/>
    <w:rsid w:val="677A75D3"/>
    <w:rsid w:val="6A487D63"/>
    <w:rsid w:val="6B851B1C"/>
    <w:rsid w:val="6B9D1315"/>
    <w:rsid w:val="6D0056A3"/>
    <w:rsid w:val="734B3290"/>
    <w:rsid w:val="738642C8"/>
    <w:rsid w:val="75C34BC5"/>
    <w:rsid w:val="77E92E21"/>
    <w:rsid w:val="79294073"/>
    <w:rsid w:val="797804D9"/>
    <w:rsid w:val="7B113FDC"/>
    <w:rsid w:val="7C961A20"/>
    <w:rsid w:val="7E350D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1"/>
    <w:qFormat/>
    <w:uiPriority w:val="0"/>
    <w:pPr>
      <w:keepNext/>
      <w:keepLines/>
      <w:spacing w:before="260" w:after="260" w:line="416" w:lineRule="auto"/>
      <w:outlineLvl w:val="1"/>
    </w:pPr>
    <w:rPr>
      <w:rFonts w:ascii="Arial" w:hAnsi="Arial" w:eastAsia="黑体"/>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3"/>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0"/>
  </w:style>
  <w:style w:type="table" w:styleId="8">
    <w:name w:val="Table Grid"/>
    <w:basedOn w:val="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1 字符"/>
    <w:basedOn w:val="9"/>
    <w:qFormat/>
    <w:uiPriority w:val="9"/>
    <w:rPr>
      <w:rFonts w:ascii="Times New Roman" w:hAnsi="Times New Roman" w:eastAsia="宋体" w:cs="Times New Roman"/>
      <w:b/>
      <w:bCs/>
      <w:kern w:val="44"/>
      <w:sz w:val="44"/>
      <w:szCs w:val="44"/>
    </w:rPr>
  </w:style>
  <w:style w:type="character" w:customStyle="1" w:styleId="11">
    <w:name w:val="标题 2 字符"/>
    <w:basedOn w:val="9"/>
    <w:link w:val="3"/>
    <w:qFormat/>
    <w:uiPriority w:val="0"/>
    <w:rPr>
      <w:rFonts w:ascii="Arial" w:hAnsi="Arial" w:eastAsia="黑体" w:cs="Times New Roman"/>
      <w:b/>
      <w:bCs/>
      <w:sz w:val="32"/>
      <w:szCs w:val="32"/>
    </w:rPr>
  </w:style>
  <w:style w:type="character" w:customStyle="1" w:styleId="12">
    <w:name w:val="标题 1 Char"/>
    <w:link w:val="2"/>
    <w:qFormat/>
    <w:uiPriority w:val="0"/>
    <w:rPr>
      <w:rFonts w:ascii="Times New Roman" w:hAnsi="Times New Roman" w:eastAsia="宋体" w:cs="Times New Roman"/>
      <w:b/>
      <w:bCs/>
      <w:kern w:val="44"/>
      <w:sz w:val="44"/>
      <w:szCs w:val="44"/>
    </w:rPr>
  </w:style>
  <w:style w:type="character" w:customStyle="1" w:styleId="13">
    <w:name w:val="页脚 Char"/>
    <w:link w:val="4"/>
    <w:qFormat/>
    <w:uiPriority w:val="0"/>
    <w:rPr>
      <w:sz w:val="18"/>
      <w:szCs w:val="18"/>
    </w:rPr>
  </w:style>
  <w:style w:type="paragraph" w:customStyle="1" w:styleId="14">
    <w:name w:val="封面标准文稿类别"/>
    <w:qFormat/>
    <w:uiPriority w:val="0"/>
    <w:pPr>
      <w:spacing w:before="440" w:line="400" w:lineRule="exact"/>
      <w:jc w:val="center"/>
    </w:pPr>
    <w:rPr>
      <w:rFonts w:ascii="宋体" w:hAnsi="Times New Roman" w:eastAsia="宋体" w:cs="Times New Roman"/>
      <w:kern w:val="0"/>
      <w:sz w:val="24"/>
      <w:szCs w:val="20"/>
      <w:lang w:val="en-US" w:eastAsia="zh-CN" w:bidi="ar-SA"/>
    </w:rPr>
  </w:style>
  <w:style w:type="character" w:customStyle="1" w:styleId="15">
    <w:name w:val="页脚 字符"/>
    <w:basedOn w:val="9"/>
    <w:qFormat/>
    <w:uiPriority w:val="99"/>
    <w:rPr>
      <w:rFonts w:ascii="Times New Roman" w:hAnsi="Times New Roman" w:eastAsia="宋体" w:cs="Times New Roman"/>
      <w:sz w:val="18"/>
      <w:szCs w:val="18"/>
    </w:rPr>
  </w:style>
  <w:style w:type="paragraph" w:styleId="16">
    <w:name w:val="List Paragraph"/>
    <w:basedOn w:val="1"/>
    <w:qFormat/>
    <w:uiPriority w:val="99"/>
    <w:pPr>
      <w:ind w:firstLine="420" w:firstLineChars="200"/>
    </w:pPr>
  </w:style>
  <w:style w:type="character" w:customStyle="1" w:styleId="17">
    <w:name w:val="页眉 字符"/>
    <w:basedOn w:val="9"/>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ink/ink2.xml"/><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customXml" Target="ink/ink1.xml"/><Relationship Id="rId44" Type="http://schemas.openxmlformats.org/officeDocument/2006/relationships/fontTable" Target="fontTable.xml"/><Relationship Id="rId43" Type="http://schemas.openxmlformats.org/officeDocument/2006/relationships/numbering" Target="numbering.xml"/><Relationship Id="rId42" Type="http://schemas.openxmlformats.org/officeDocument/2006/relationships/customXml" Target="../customXml/item1.xml"/><Relationship Id="rId41" Type="http://schemas.openxmlformats.org/officeDocument/2006/relationships/image" Target="media/image20.wmf"/><Relationship Id="rId40" Type="http://schemas.openxmlformats.org/officeDocument/2006/relationships/oleObject" Target="embeddings/oleObject14.bin"/><Relationship Id="rId4" Type="http://schemas.openxmlformats.org/officeDocument/2006/relationships/theme" Target="theme/theme1.xml"/><Relationship Id="rId39" Type="http://schemas.openxmlformats.org/officeDocument/2006/relationships/image" Target="media/image19.wmf"/><Relationship Id="rId38" Type="http://schemas.openxmlformats.org/officeDocument/2006/relationships/oleObject" Target="embeddings/oleObject13.bin"/><Relationship Id="rId37" Type="http://schemas.openxmlformats.org/officeDocument/2006/relationships/image" Target="media/image18.wmf"/><Relationship Id="rId36" Type="http://schemas.openxmlformats.org/officeDocument/2006/relationships/oleObject" Target="embeddings/oleObject12.bin"/><Relationship Id="rId35" Type="http://schemas.openxmlformats.org/officeDocument/2006/relationships/image" Target="media/image17.wmf"/><Relationship Id="rId34" Type="http://schemas.openxmlformats.org/officeDocument/2006/relationships/oleObject" Target="embeddings/oleObject11.bin"/><Relationship Id="rId33" Type="http://schemas.openxmlformats.org/officeDocument/2006/relationships/oleObject" Target="embeddings/oleObject10.bin"/><Relationship Id="rId32" Type="http://schemas.openxmlformats.org/officeDocument/2006/relationships/image" Target="media/image16.wmf"/><Relationship Id="rId31" Type="http://schemas.openxmlformats.org/officeDocument/2006/relationships/oleObject" Target="embeddings/oleObject9.bin"/><Relationship Id="rId30" Type="http://schemas.openxmlformats.org/officeDocument/2006/relationships/image" Target="media/image15.wmf"/><Relationship Id="rId3" Type="http://schemas.openxmlformats.org/officeDocument/2006/relationships/footer" Target="footer1.xml"/><Relationship Id="rId29" Type="http://schemas.openxmlformats.org/officeDocument/2006/relationships/oleObject" Target="embeddings/oleObject8.bin"/><Relationship Id="rId28" Type="http://schemas.openxmlformats.org/officeDocument/2006/relationships/image" Target="media/image14.wmf"/><Relationship Id="rId27" Type="http://schemas.openxmlformats.org/officeDocument/2006/relationships/oleObject" Target="embeddings/oleObject7.bin"/><Relationship Id="rId26" Type="http://schemas.openxmlformats.org/officeDocument/2006/relationships/image" Target="media/image13.wmf"/><Relationship Id="rId25" Type="http://schemas.openxmlformats.org/officeDocument/2006/relationships/oleObject" Target="embeddings/oleObject6.bin"/><Relationship Id="rId24" Type="http://schemas.openxmlformats.org/officeDocument/2006/relationships/image" Target="media/image12.wmf"/><Relationship Id="rId23" Type="http://schemas.openxmlformats.org/officeDocument/2006/relationships/oleObject" Target="embeddings/oleObject5.bin"/><Relationship Id="rId22" Type="http://schemas.openxmlformats.org/officeDocument/2006/relationships/image" Target="media/image11.wmf"/><Relationship Id="rId21" Type="http://schemas.openxmlformats.org/officeDocument/2006/relationships/oleObject" Target="embeddings/oleObject4.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9.wmf"/><Relationship Id="rId17" Type="http://schemas.openxmlformats.org/officeDocument/2006/relationships/oleObject" Target="embeddings/oleObject2.bin"/><Relationship Id="rId16" Type="http://schemas.openxmlformats.org/officeDocument/2006/relationships/image" Target="media/image8.wmf"/><Relationship Id="rId15" Type="http://schemas.openxmlformats.org/officeDocument/2006/relationships/oleObject" Target="embeddings/oleObject1.bin"/><Relationship Id="rId14" Type="http://schemas.openxmlformats.org/officeDocument/2006/relationships/image" Target="media/image7.png"/><Relationship Id="rId13" Type="http://schemas.openxmlformats.org/officeDocument/2006/relationships/image" Target="media/image6.jpeg"/><Relationship Id="rId12" Type="http://schemas.openxmlformats.org/officeDocument/2006/relationships/image" Target="media/image5.png"/><Relationship Id="rId11" Type="http://schemas.openxmlformats.org/officeDocument/2006/relationships/customXml" Target="ink/ink3.xml"/><Relationship Id="rId10" Type="http://schemas.openxmlformats.org/officeDocument/2006/relationships/image" Target="media/image4.png"/><Relationship Id="rId1" Type="http://schemas.openxmlformats.org/officeDocument/2006/relationships/styles" Target="styles.xml"/></Relationships>
</file>

<file path=word/ink/ink1.xml><?xml version="1.0" encoding="utf-8"?>
<inkml:ink xmlns:inkml="http://www.w3.org/2003/InkML">
  <inkml:definitions>
    <inkml:context xml:id="ctx0">
      <inkml:inkSource xml:id="inkSrc0">
        <inkml:traceFormat>
          <inkml:channel name="X" type="integer" units="cm"/>
          <inkml:channel name="Y" type="integer" units="cm"/>
          <inkml:channel name="F" type="integer" max="1023" units="dev"/>
        </inkml:traceFormat>
        <inkml:channelProperties>
          <inkml:channelProperty channel="X" name="resolution" value="28.3464566929134" units="1/cm"/>
          <inkml:channelProperty channel="Y" name="resolution" value="28.3464566929134" units="1/cm"/>
          <inkml:channelProperty channel="F" name="resolution" value="0" units="1/dev"/>
        </inkml:channelProperties>
      </inkml:inkSource>
      <inkml:timestamp xml:id="ts0" timeString="2025-08-07T13:39:21"/>
    </inkml:context>
    <inkml:brush xml:id="br0">
      <inkml:brushProperty name="width" value="0.0529194456206428" units="cm"/>
      <inkml:brushProperty name="height" value="0.0529194456206428" units="cm"/>
      <inkml:brushProperty name="color" value="#f80600"/>
      <inkml:brushProperty name="ignorePressure" value="0"/>
    </inkml:brush>
  </inkml:definitions>
  <inkml:trace contextRef="#ctx0" brushRef="#br0">12216.000 80752.000 767,'0.000'6.234'0,"0.539"-0.148"-4,2.396 1.352 2,-0.308-1.156 1,0.630 0.227 1,0.433 2.234-1,0.853 1.563 0,0.009-1.133 0,-1.953-2.930 2,0.299 1.055 0,3.169 1.414-1,-0.853-1.102-1,-1.715-1.289 0,0.985 1.250 1,-0.432-2.625 2,0.854 0.258 0,-0.286 0.734-3,-0.175-1.023 0,1.807 0.430 1,-0.707-1.453 0,0.883-0.406 1,1.651 0.813-1,0.113-0.820-1,0.590-0.258 0,-1.566-0.461 0,0.226 0.422-1,0.721-0.023 1,0.956-0.297-1,-2.171-0.711 3,0.337 0.242-1,0.337 0.359-1,3.478 1.273 0,0.232-0.211-1,-0.022 0.383 1,-0.175 0.695 0,-3.065-1.000 1,-0.682-0.008 1,-0.746-0.094-1,-0.751-0.148 0,0.779 0.578 0,-0.724-0.672 1,1.653 0.984 2,-0.756-0.258 2,-0.455-0.727-4,3.070 0.883 0,0.261-0.422-2,-0.235-0.656 0,-0.089 0.656 1,-0.686-0.461 0,-1.421-1.258 0,-0.312-0.961 1,0.933-0.703 1,2.016-0.453-3,0.354-0.234-1,-1.897-0.039 4,2.086-0.016-2,0.101-0.141-2,-1.910-1.000 1,0.746-1.109 1,-1.506-0.727 0,-1.911-1.109 2,-0.530-0.023 0,-1.577-0.828-2,-1.031-2.891 1,-0.697 2.008-2,1.024-1.438 1,0.604 0.922 1,0.369-1.102-2,-1.020-2.023 1,-1.580 1.859-1,-0.433-1.164 1,0.370-0.133-1,0.581 0.891 0,-0.021-0.063 0,-0.822 1.734 0,-0.200-0.695 1,0.132-3.219 0,0.066-1.242 0,0.046 5.258 0,0.168-0.070 0,-0.026-0.273 1,-0.142-0.414-1,-0.198-0.461 0,0.664-2.625 0,1.062 0.422-1,0.269 0.117 2,-0.995 1.531 1,-0.879 1.867-2,-0.424-0.813 1,-0.731 0.281-1,-0.306 0.023 2,0.212 0.727-1,-2.748 0.414-1,-2.643 3.031 2,-0.527-2.492-3,-3.954-2.438-2,3.172 2.875 2,-0.358 0.234-1,-0.028 0.125 0,0.174 0.063 0,0.325 0.414 2,0.389 0.586 1,-3.173-0.938-1,2.073 1.734 2,1.385 1.273 0,-2.756 0.820-1,2.604 0.516 1,-2.331 0.234-3,2.076-0.141 1,-0.763-0.133 0,0.624-0.156 1,0.491 0.016 0,-1.912 0.000-2,-0.553 0.000 0,-1.135 0.000-1,-2.125 0.000 2,1.407 0.000-1,-1.504 0.000 0,5.129 0.000 0,0.060 0.000 1,0.608 0.000 0,-5.903 0.000-1,2.009 0.000 2,2.419 0.000 1,-0.331 0.000-2,1.348 0.000 0,-1.321 0.000 2,1.376 0.000-1,-1.521 0.000 0,-0.002 0.000 0,1.100 0.000-3,-2.248 0.000 1,-1.826 0.000-1,3.195 0.000 3,-1.101 0.000-1,-1.094 0.000 0,0.333 0.000 0,0.781 0.000 0,2.028 0.000 0,-0.058 0.000 0,-0.047 0.000 0,-0.105 0.000 3,-1.593 0.000-3,-0.010 0.000 0,0.608 0.000-1,-0.161 0.000 1,1.068 0.000 0,1.021 0.000 0</inkml:trace>
</inkml:ink>
</file>

<file path=word/ink/ink2.xml><?xml version="1.0" encoding="utf-8"?>
<inkml:ink xmlns:inkml="http://www.w3.org/2003/InkML">
  <inkml:definitions>
    <inkml:context xml:id="ctx0">
      <inkml:inkSource xml:id="inkSrc0">
        <inkml:traceFormat>
          <inkml:channel name="X" type="integer" units="cm"/>
          <inkml:channel name="Y" type="integer" units="cm"/>
          <inkml:channel name="F" type="integer" max="1023" units="dev"/>
        </inkml:traceFormat>
        <inkml:channelProperties>
          <inkml:channelProperty channel="X" name="resolution" value="28.3464566929134" units="1/cm"/>
          <inkml:channelProperty channel="Y" name="resolution" value="28.3464566929134" units="1/cm"/>
          <inkml:channelProperty channel="F" name="resolution" value="0" units="1/dev"/>
        </inkml:channelProperties>
      </inkml:inkSource>
      <inkml:timestamp xml:id="ts0" timeString="2025-08-07T13:40:53"/>
    </inkml:context>
    <inkml:brush xml:id="br0">
      <inkml:brushProperty name="width" value="0.0529194456206428" units="cm"/>
      <inkml:brushProperty name="height" value="0.0529194456206428" units="cm"/>
      <inkml:brushProperty name="color" value="#f80600"/>
      <inkml:brushProperty name="ignorePressure" value="0"/>
    </inkml:brush>
  </inkml:definitions>
  <inkml:trace contextRef="#ctx0" brushRef="#br0">11626.000 89819.000 767,'6.016'0.000'0,"0.273"0.000"-4,1.981 0.000 2,-0.164 0.000 1,2.957 0.000-1,-2.998 0.000 1,0.432 0.000 1,-0.096 0.000-2,-0.360 0.000 0,-0.489 0.000 1,-0.166 0.000 1,0.043 0.000 2,-0.189 0.000 0,-0.314 0.000-2,-0.406 0.000-1,-0.425 0.000 1,5.105 0.000 2,-1.006 0.000-1,2.277 0.000 0,-1.653 0.000-2,-0.749 0.000-1,-1.092 0.000 1,1.098-0.367 1,-0.132-1.977 1,-1.904-0.203 0,-1.822 0.711 0,0.283-0.984-1,-1.250-0.641 2,0.688-0.289-1,-1.389-3.555-1,-1.975 1.703 0,0.892-0.234 0,0.433-0.734 1,0.046 0.766-2,1.618-1.227 0,1.821-1.914-1,-4.103 3.414 2,1.498-3.781-2,-0.686 0.953 1,-0.471 1.258 1,-0.887 1.016 1,0.002-1.141 0,1.442-1.422 1,-1.463 1.102-1,-0.998 0.688-2,-0.482-1.375 2,-0.346 1.203-2,1.586 0.578 2,0.038 0.117-1,-0.477-1.258 0,-0.038 1.625 0,2.662-2.438-1,0.115 1.234 0,-0.832 0.992 1,-0.270-1.344 0,-2.277 1.344 1,-1.271-1.094 0,-0.347 0.797 0,0.165-0.258 0,1.798 0.164-2,1.358 0.742 0,-0.772-0.539 1,-1.047-0.773 1,-0.787-1.242-2,-0.468 0.117 1,-0.139 1.727-1,-0.001-0.289 1,0.075-0.586 2,0.041 0.313-1,0.001 1.031-1,-0.005-0.344 0,0.000-0.219 1,-1.981-0.188-2,-1.612 1.641 2,-0.687-0.953-1,-0.241-1.477-3,1.854 0.844 2,1.150 0.547 0,0.719-0.539 3,0.702 0.477-1,-0.120-1.602-1,-1.645 2.039 0,-1.073-2.641-1,1.334 2.617 0,0.448-0.188 1,0.467-0.195-1,0.324-2.008 2,0.438 2.047 0,-1.298-0.023 0,-4.476 1.508 1,0.460 0.766-3,0.426-1.844 0,2.803-1.852 1,0.118 1.242 0,-3.691 4.164 1,2.681-3.797 0,-1.576-0.383-2,1.281-0.359 0,-1.203 2.102 1,-2.336 1.156 0,-0.609-0.469 0,-0.009 1.523 0,0.329 1.359-1,-0.981-0.922 1,1.026-0.578 0,0.788 0.266 0,-1.322 0.078-1,0.044 1.211 2,-0.553 0.813-1,1.252 0.266 0,-3.444 0.078 0,0.386-0.008-2,-0.684-0.023 0,2.674 0.414 2,0.555 0.664-1,0.182 0.305-1,-0.060 0.055 1,-2.736 1.008 3,-0.132 0.984 0,0.749 0.109-2,1.411-0.875 0,1.118-0.992 0,0.961 0.359 3,0.230 0.391-3,-2.055 0.773 0,1.754 0.977 0,-0.110 2.219 1,-0.764-0.719-2,0.871 0.211 1,0.235-0.984 0,-1.403 0.320 1,1.251 1.016-2,0.725 0.898 1,0.854 0.188-1,2.064-1.563 1,0.414 1.320 2,-0.755 2.141-2,-0.260 0.477-2,0.773-1.453 0,0.748-1.461 3,0.396 1.898 0,0.489 0.891-1,0.272-0.438 0,0.093-2.820-1,-0.404 1.008 1,-1.650 0.086 2,-0.022-1.344-2,-0.429 2.641-1,1.043-1.844 1,0.437 0.531 1,0.466 0.234-1,0.363 0.164 0,0.169-1.172 0,0.052-0.609 1,0.048 3.664-1,-0.039-1.133-1,-0.026-0.156 1,-0.021-0.695-1,-0.011 0.680 1,-0.008 0.133 1,-0.003 0.328 0,-0.002 0.273-1,0.002 0.211 0,0.000-0.742 0,0.002-1.867-1,0.000 1.141 1,0.000 1.500 0,0.000 0.016 0,0.000-0.070-1,0.000-1.000 1,0.000-1.352 0,0.000 1.898 0,0.000-1.500 0,0.149-0.695 1,1.901 0.367 0,1.789-0.766-1,-1.074 0.875 2,-1.611-0.906-3,-0.713-0.258 0,1.800-0.266 3,3.090-1.227-1,-4.236 1.539-1,-0.100 0.336-1,3.503-1.633 1,-1.921 1.344 1,2.369 0.258-4,-0.164-2.406 4</inkml:trace>
</inkml:ink>
</file>

<file path=word/ink/ink3.xml><?xml version="1.0" encoding="utf-8"?>
<inkml:ink xmlns:inkml="http://www.w3.org/2003/InkML">
  <inkml:definitions>
    <inkml:context xml:id="ctx0">
      <inkml:inkSource xml:id="inkSrc0">
        <inkml:traceFormat>
          <inkml:channel name="X" type="integer" units="cm"/>
          <inkml:channel name="Y" type="integer" units="cm"/>
          <inkml:channel name="F" type="integer" max="1023" units="dev"/>
        </inkml:traceFormat>
        <inkml:channelProperties>
          <inkml:channelProperty channel="X" name="resolution" value="28.3464566929134" units="1/cm"/>
          <inkml:channelProperty channel="Y" name="resolution" value="28.3464566929134" units="1/cm"/>
          <inkml:channelProperty channel="F" name="resolution" value="0" units="1/dev"/>
        </inkml:channelProperties>
      </inkml:inkSource>
      <inkml:timestamp xml:id="ts0" timeString="2025-08-07T13:40:43"/>
    </inkml:context>
    <inkml:brush xml:id="br0">
      <inkml:brushProperty name="width" value="0.0529194456206428" units="cm"/>
      <inkml:brushProperty name="height" value="0.0529194456206428" units="cm"/>
      <inkml:brushProperty name="color" value="#f80600"/>
      <inkml:brushProperty name="ignorePressure" value="0"/>
    </inkml:brush>
  </inkml:definitions>
  <inkml:trace contextRef="#ctx0" brushRef="#br0">6226.000 88994.000 767,'0.000'7.148'0,"0.332"3.867"-5,0.519-4.172 3,0.812 2.117-1,0.692 0.906 1,-0.532-2.727 0,-0.007-0.211 1,-0.091-0.344-1,0.571 1.852 2,0.289 0.578-1,1.054 1.344 4,0.958 0.148-4,-0.708-2.875 1,0.661 0.070-1,0.711 0.133 0,2.050 2.227 0,0.264 0.133 0,1.133 1.453-1,0.298 0.477 0,-1.905-3.133 3,0.937 0.305 0,1.168 0.367-2,3.623 2.453 0,0.601-0.539-2,2.705 0.555 0,1.479-0.602-1,-4.281-3.438 5,0.623-0.148 2,0.666-0.047-5,6.324 2.203 0,-0.111-1.359 0,-0.676-1.203 0,-0.957-0.992 0,-6.306-2.414 4,-1.228-0.641 0,-1.282-0.617 0,0.773-0.188 0,-1.621-0.773 0,0.097-0.578 4,-0.129-0.586 2,-2.500-0.570-5,0.317-0.406-4,0.461-0.422 1,2.954-0.586-1,0.922-0.180-1,4.183-1.000 0,3.752-1.148 0,5.109-1.625 0,5.473-1.766-5,3.112-1.297 0,1.408-0.891 1,-0.993-0.125-1,-2.356 0.352 1,-2.122 0.156 4,-1.792 0.031 2,0.215-0.008 8,1.409-0.031-3,0.356-0.078-2,-0.312-0.109-6,-7.715 2.172 1,-2.060 0.375 0,-2.302 0.430 2,2.966-1.406 1,-1.912 0.781 0,-3.463 1.016 13,-1.774 0.203-6,-1.615 0.063-7,-2.544 0.867-3,-0.850 0.195 3,-0.668 0.195 0,0.479-0.492 1,-0.447 0.070 0,-0.300 0.023 0,-0.185 0.000-1,-0.899 0.289-1,-0.232-0.273 0,-0.221-0.336-1,-0.201-0.359 1,-0.072-0.531 0,-0.287-0.266 0,-0.285-0.203 0,0.542-1.133 0,-0.209 0.219 1,-0.558-0.078-1,-0.719-0.266 1,1.015-2.922 2,0.376-0.844-3,-2.588 5.133 0,-0.256 0.109 1,0.149-0.875 0,0.140-1.148-1,-0.267 0.023-1,0.404-3.414 0,-0.634-2.039 1,-1.232 4.797 0,-0.189-1.164 0,-0.199 0.289-2,-0.156 2.813 1,-0.062 0.188 0,-0.047 0.133 0,-0.379-1.992 3,-0.552-0.688 0,-0.002 1.648-2,-0.088-0.063-1,-0.016 0.008 1,-1.156-3.359-1,-1.123-0.641 0,-0.830-0.609 1,-0.580-0.555-1,-0.333 0.344 0,-0.153 0.852 0,1.170 3.469 0,-0.424 0.195 0,-0.533 0.063 1,-0.286 0.266 3,-0.097 0.391-3,0.042 0.469-1,-0.018 0.203 0,-0.060 0.000 1,-0.087-0.141-1,-2.130-2.883 5,0.188-0.289-5,-0.473-0.570 0,-0.830-0.680 1,2.243 3.125 0,-0.075 0.336 0,-0.027 0.445-1,-2.765-2.242 0,-0.192 0.203 0,2.692 2.789 2,0.088 0.375 0,0.083 0.383-1,-2.198-1.445 0,0.574 0.578 1,-1.854-0.328-1,-0.660-0.055 3,-0.282 0.563-2,-0.028 0.891-1,-1.075 0.211-2,-1.611-0.227 0,3.604 1.453 3,0.067 0.039-2,0.227 0.047-1,-4.622-1.000 0,-1.346 0.664 0,-0.244 0.359 4,0.443 0.148-3,0.016-0.039 0,-0.243-0.141 0,0.424 0.242 3,0.790 0.461-2,1.385 0.547 0,1.622 0.555-1,0.729 0.109 3,0.125-0.172 1,0.640 0.078 2,0.894 0.219-5,3.119 0.617-1,-4.527-0.625 1,3.577 0.922 3,0.155 0.242-1,-0.131 0.195 0,-0.292 0.148 0,0.082 0.109-4,0.301 0.078 1,-0.040 0.047 0,-0.242 0.023 1,-3.663 0.047 1,-1.019 0.336-2,3.145 0.469 2,-2.426 0.852-2,-0.774 0.750-2,2.246-0.039 1,-0.352 0.555 0,-0.363 0.563 0,-2.243 1.133 2,-0.531 0.359-1,2.625-0.805 0,0.040 0.242-1,0.089 0.258 1,-3.691 2.117 1,0.619-0.016 0,1.140-0.617 0,1.353-0.938-1,0.960-0.633 3,0.638-0.398 0,1.232-0.180 4,1.481-0.023-5,1.099-0.383-1,-4.097 2.367 4,4.546-3.133 0,-0.162 0.195-5,-0.017 0.281 0,-0.374 0.266 0,-0.555 0.234 1,0.547-0.305 0,0.188-0.008 0,0.313-0.055-1,0.222-0.289 1,-3.949 1.836 0,1.380-0.656 1,-1.492 1.930 0,0.869 0.328-1,1.704-0.367 1,-1.114 2.500-2,2.590-3.375 1,-0.551 1.102-2,0.478 0.563 1,-0.097 0.148 0,-0.436-0.109 0,-0.156 0.094 1,0.027 0.219 1,0.135-0.094-2,0.188-0.258 1,1.359-1.656 0,0.177-0.047 0,0.156 0.016 0,-0.494 0.789 1,0.046-0.164-1,-2.331 3.563 0,0.393 0.211 1,1.086-0.391-1,2.665-3.820 0,-1.455 5.102 0,-0.755-1.875 2,-1.037 1.023 0,0.518 0.609-3,-0.415-0.719 0,-0.160-1.375 1,0.960-2.227 0,-1.436 1.414 0,2.190-2.305 1,-1.447 2.695-1,0.898 0.211-1,0.331 0.719 0,0.199 0.813 2,0.939-0.773-2,0.684-0.117-1,0.982-1.602 5</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3679</Words>
  <Characters>4139</Characters>
  <Lines>2</Lines>
  <Paragraphs>1</Paragraphs>
  <TotalTime>15</TotalTime>
  <ScaleCrop>false</ScaleCrop>
  <LinksUpToDate>false</LinksUpToDate>
  <CharactersWithSpaces>4191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2023-07-24T07:48:00Z</dcterms:created>
  <dc:creator>AutoBVT</dc:creator>
  <cp:lastModifiedBy>Administrator</cp:lastModifiedBy>
  <dcterms:modified xsi:type="dcterms:W3CDTF">2026-02-04T11:28:50Z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908BA3B0A527482D9DCED1FFE84FB126_13</vt:lpwstr>
  </property>
  <property fmtid="{D5CDD505-2E9C-101B-9397-08002B2CF9AE}" pid="4" name="KSOTemplateDocerSaveRecord">
    <vt:lpwstr>eyJoZGlkIjoiYWI5NTRlMGM3NDA3MGFiOGNmYzYwZjU2YTJlNGJhZDkiLCJ1c2VySWQiOiI0MjI4OTQxMzkifQ==</vt:lpwstr>
  </property>
</Properties>
</file>